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5EC7C2">
      <w:pPr>
        <w:spacing w:before="2600"/>
      </w:pPr>
    </w:p>
    <w:p w14:paraId="1D448916">
      <w:pPr>
        <w:spacing w:after="120"/>
        <w:jc w:val="center"/>
      </w:pPr>
      <w:r>
        <w:rPr>
          <w:rFonts w:ascii="Times New Roman" w:hAnsi="Times New Roman" w:eastAsia="微软雅黑"/>
          <w:b/>
          <w:i w:val="0"/>
          <w:color w:val="1B2A6B"/>
          <w:sz w:val="44"/>
        </w:rPr>
        <w:t>2026 年</w:t>
      </w:r>
    </w:p>
    <w:p w14:paraId="75A2F9ED">
      <w:pPr>
        <w:spacing w:after="200"/>
        <w:jc w:val="center"/>
      </w:pPr>
      <w:r>
        <w:rPr>
          <w:rFonts w:ascii="Times New Roman" w:hAnsi="Times New Roman" w:eastAsia="微软雅黑"/>
          <w:b/>
          <w:i w:val="0"/>
          <w:color w:val="1B2A6B"/>
          <w:sz w:val="60"/>
        </w:rPr>
        <w:t>活　动　方　案</w:t>
      </w:r>
    </w:p>
    <w:p w14:paraId="6167E432">
      <w:pPr>
        <w:spacing w:after="900"/>
        <w:jc w:val="center"/>
      </w:pPr>
      <w:r>
        <w:rPr>
          <w:rFonts w:ascii="Times New Roman" w:hAnsi="Times New Roman" w:eastAsia="微软雅黑"/>
          <w:b w:val="0"/>
          <w:i w:val="0"/>
          <w:color w:val="595959"/>
          <w:sz w:val="28"/>
        </w:rPr>
        <w:t>校园自我保护与基础防身术工作坊</w:t>
      </w:r>
    </w:p>
    <w:p w14:paraId="4BD6E375">
      <w:pPr>
        <w:spacing w:after="120"/>
        <w:jc w:val="center"/>
      </w:pPr>
      <w:r>
        <w:rPr>
          <w:rFonts w:ascii="Times New Roman" w:hAnsi="Times New Roman"/>
          <w:b/>
          <w:i w:val="0"/>
          <w:color w:val="1B2A6B"/>
          <w:sz w:val="28"/>
        </w:rPr>
        <w:t>主办单位：中国文化教学中心自我管理课程组、SafeSpace 安心岛</w:t>
      </w:r>
    </w:p>
    <w:p w14:paraId="1F993FAB">
      <w:pPr>
        <w:jc w:val="center"/>
      </w:pPr>
      <w:r>
        <w:rPr>
          <w:rFonts w:ascii="Times New Roman" w:hAnsi="Times New Roman"/>
          <w:b/>
          <w:color w:val="1B2A6B"/>
          <w:sz w:val="28"/>
        </w:rPr>
        <w:t>联合社团：综合格斗社</w:t>
      </w:r>
    </w:p>
    <w:p w14:paraId="2283D590">
      <w:pPr>
        <w:spacing w:after="140" w:line="300" w:lineRule="auto"/>
        <w:jc w:val="center"/>
      </w:pPr>
      <w:r>
        <w:rPr>
          <w:rFonts w:ascii="Times New Roman" w:hAnsi="Times New Roman" w:eastAsia="微软雅黑"/>
          <w:b w:val="0"/>
          <w:i w:val="0"/>
          <w:color w:val="595959"/>
          <w:sz w:val="26"/>
        </w:rPr>
        <w:t>2026年10月</w:t>
      </w:r>
    </w:p>
    <w:p w14:paraId="5A6F9675">
      <w:pPr>
        <w:pageBreakBefore/>
      </w:pPr>
    </w:p>
    <w:p w14:paraId="6096F123">
      <w:pPr>
        <w:spacing w:after="240"/>
        <w:jc w:val="center"/>
      </w:pPr>
      <w:r>
        <w:rPr>
          <w:rFonts w:ascii="Times New Roman" w:hAnsi="Times New Roman" w:eastAsia="宋体" w:cs="Times New Roman"/>
          <w:b/>
          <w:bCs/>
          <w:color w:val="1B2A6B"/>
          <w:sz w:val="30"/>
          <w:szCs w:val="30"/>
        </w:rPr>
        <w:t>目　录</w:t>
      </w:r>
    </w:p>
    <w:sdt>
      <w:sdtPr>
        <w:alias w:val="目录"/>
        <w:id w:val="617877830"/>
      </w:sdtPr>
      <w:sdtContent>
        <w:p w14:paraId="568F87A8">
          <w:r>
            <w:fldChar w:fldCharType="begin"/>
          </w:r>
          <w:r>
            <w:instrText xml:space="preserve"> TOC \o "1-2" \h \z \u </w:instrText>
          </w:r>
          <w:r>
            <w:fldChar w:fldCharType="separate"/>
          </w:r>
        </w:p>
        <w:p w14:paraId="69B01DF3">
          <w:pPr>
            <w:tabs>
              <w:tab w:val="right" w:leader="dot" w:pos="9000"/>
            </w:tabs>
            <w:ind w:left="0"/>
          </w:pPr>
          <w:r>
            <w:rPr>
              <w:rFonts w:ascii="Times New Roman" w:hAnsi="Times New Roman" w:eastAsia="宋体"/>
            </w:rPr>
            <w:t>一、活动主题</w:t>
          </w:r>
          <w:r>
            <w:tab/>
          </w:r>
          <w:r>
            <w:t>3</w:t>
          </w:r>
        </w:p>
        <w:p w14:paraId="6D827BF4">
          <w:pPr>
            <w:tabs>
              <w:tab w:val="right" w:leader="dot" w:pos="9000"/>
            </w:tabs>
            <w:ind w:left="0"/>
          </w:pPr>
          <w:r>
            <w:rPr>
              <w:rFonts w:ascii="Times New Roman" w:hAnsi="Times New Roman" w:eastAsia="宋体"/>
            </w:rPr>
            <w:t>二、活动背景</w:t>
          </w:r>
          <w:r>
            <w:tab/>
          </w:r>
          <w:r>
            <w:t>3</w:t>
          </w:r>
        </w:p>
        <w:p w14:paraId="1C5BBCCD">
          <w:pPr>
            <w:tabs>
              <w:tab w:val="right" w:leader="dot" w:pos="9000"/>
            </w:tabs>
            <w:ind w:left="0"/>
          </w:pPr>
          <w:r>
            <w:rPr>
              <w:rFonts w:ascii="Times New Roman" w:hAnsi="Times New Roman" w:eastAsia="宋体"/>
            </w:rPr>
            <w:t>三、活动目的</w:t>
          </w:r>
          <w:r>
            <w:tab/>
          </w:r>
          <w:r>
            <w:t>3</w:t>
          </w:r>
        </w:p>
        <w:p w14:paraId="3DDD4BE1">
          <w:pPr>
            <w:tabs>
              <w:tab w:val="right" w:leader="dot" w:pos="9000"/>
            </w:tabs>
            <w:ind w:left="0"/>
          </w:pPr>
          <w:r>
            <w:rPr>
              <w:rFonts w:ascii="Times New Roman" w:hAnsi="Times New Roman" w:eastAsia="宋体"/>
            </w:rPr>
            <w:t>四、活动时间与地点</w:t>
          </w:r>
          <w:r>
            <w:tab/>
          </w:r>
          <w:r>
            <w:t>3</w:t>
          </w:r>
        </w:p>
        <w:p w14:paraId="4AB9527C">
          <w:pPr>
            <w:tabs>
              <w:tab w:val="right" w:leader="dot" w:pos="9000"/>
            </w:tabs>
            <w:ind w:left="0"/>
          </w:pPr>
          <w:r>
            <w:rPr>
              <w:rFonts w:ascii="Times New Roman" w:hAnsi="Times New Roman" w:eastAsia="宋体"/>
            </w:rPr>
            <w:t>五、活动流程</w:t>
          </w:r>
          <w:r>
            <w:tab/>
          </w:r>
          <w:r>
            <w:t>4</w:t>
          </w:r>
        </w:p>
        <w:p w14:paraId="6DE90B03">
          <w:pPr>
            <w:tabs>
              <w:tab w:val="right" w:leader="dot" w:pos="9000"/>
            </w:tabs>
            <w:ind w:left="360"/>
          </w:pPr>
          <w:r>
            <w:rPr>
              <w:rFonts w:ascii="Times New Roman" w:hAnsi="Times New Roman" w:eastAsia="宋体"/>
            </w:rPr>
            <w:t>（一）前期准备阶段</w:t>
          </w:r>
          <w:r>
            <w:tab/>
          </w:r>
          <w:r>
            <w:t>4</w:t>
          </w:r>
        </w:p>
        <w:p w14:paraId="0D091C1B">
          <w:pPr>
            <w:tabs>
              <w:tab w:val="right" w:leader="dot" w:pos="9000"/>
            </w:tabs>
            <w:ind w:left="360"/>
          </w:pPr>
          <w:r>
            <w:rPr>
              <w:rFonts w:ascii="Times New Roman" w:hAnsi="Times New Roman" w:eastAsia="宋体"/>
            </w:rPr>
            <w:t>（二）活动进行阶段</w:t>
          </w:r>
          <w:r>
            <w:tab/>
          </w:r>
          <w:r>
            <w:t>4</w:t>
          </w:r>
        </w:p>
        <w:p w14:paraId="67632621">
          <w:pPr>
            <w:tabs>
              <w:tab w:val="right" w:leader="dot" w:pos="9000"/>
            </w:tabs>
            <w:ind w:left="360"/>
          </w:pPr>
          <w:r>
            <w:rPr>
              <w:rFonts w:ascii="Times New Roman" w:hAnsi="Times New Roman" w:eastAsia="宋体"/>
            </w:rPr>
            <w:t>（三）后期总结阶段</w:t>
          </w:r>
          <w:r>
            <w:tab/>
          </w:r>
          <w:r>
            <w:t>5</w:t>
          </w:r>
        </w:p>
        <w:p w14:paraId="13908D3E">
          <w:pPr>
            <w:tabs>
              <w:tab w:val="right" w:leader="dot" w:pos="9000"/>
            </w:tabs>
            <w:ind w:left="0"/>
          </w:pPr>
          <w:r>
            <w:rPr>
              <w:rFonts w:ascii="Times New Roman" w:hAnsi="Times New Roman" w:eastAsia="宋体"/>
            </w:rPr>
            <w:t>六、前期准备</w:t>
          </w:r>
          <w:r>
            <w:tab/>
          </w:r>
          <w:r>
            <w:t>5</w:t>
          </w:r>
        </w:p>
        <w:p w14:paraId="112BE1C7">
          <w:pPr>
            <w:tabs>
              <w:tab w:val="right" w:leader="dot" w:pos="9000"/>
            </w:tabs>
            <w:ind w:left="0"/>
          </w:pPr>
          <w:r>
            <w:rPr>
              <w:rFonts w:ascii="Times New Roman" w:hAnsi="Times New Roman" w:eastAsia="宋体"/>
            </w:rPr>
            <w:t>七、人员分工</w:t>
          </w:r>
          <w:r>
            <w:tab/>
          </w:r>
          <w:r>
            <w:t>6</w:t>
          </w:r>
        </w:p>
        <w:p w14:paraId="11BA58CE">
          <w:pPr>
            <w:tabs>
              <w:tab w:val="right" w:leader="dot" w:pos="9000"/>
            </w:tabs>
            <w:ind w:left="0"/>
          </w:pPr>
          <w:r>
            <w:rPr>
              <w:rFonts w:ascii="Times New Roman" w:hAnsi="Times New Roman" w:eastAsia="宋体"/>
            </w:rPr>
            <w:t>八、资金预算</w:t>
          </w:r>
          <w:r>
            <w:tab/>
          </w:r>
          <w:r>
            <w:t>6</w:t>
          </w:r>
        </w:p>
        <w:p w14:paraId="0D3EADF7">
          <w:pPr>
            <w:tabs>
              <w:tab w:val="right" w:leader="dot" w:pos="9000"/>
            </w:tabs>
            <w:ind w:left="0"/>
          </w:pPr>
          <w:r>
            <w:rPr>
              <w:rFonts w:ascii="Times New Roman" w:hAnsi="Times New Roman" w:eastAsia="宋体"/>
            </w:rPr>
            <w:t>九、应急预案</w:t>
          </w:r>
          <w:r>
            <w:tab/>
          </w:r>
          <w:r>
            <w:t>7</w:t>
          </w:r>
        </w:p>
        <w:p w14:paraId="583387BD">
          <w:pPr>
            <w:tabs>
              <w:tab w:val="right" w:leader="dot" w:pos="9000"/>
            </w:tabs>
            <w:ind w:left="0"/>
          </w:pPr>
          <w:r>
            <w:rPr>
              <w:rFonts w:ascii="Times New Roman" w:hAnsi="Times New Roman" w:eastAsia="宋体"/>
            </w:rPr>
            <w:t>十、附件</w:t>
          </w:r>
          <w:r>
            <w:tab/>
          </w:r>
          <w:r>
            <w:t>7</w:t>
          </w:r>
        </w:p>
        <w:p w14:paraId="481BA9E1">
          <w:r>
            <w:fldChar w:fldCharType="end"/>
          </w:r>
        </w:p>
      </w:sdtContent>
    </w:sdt>
    <w:p w14:paraId="4860521E">
      <w:pPr>
        <w:pageBreakBefore/>
      </w:pPr>
    </w:p>
    <w:p w14:paraId="11783317">
      <w:pPr>
        <w:pStyle w:val="2"/>
        <w:keepNext/>
        <w:pBdr>
          <w:bottom w:val="single" w:color="1B2A6B" w:sz="6" w:space="4"/>
        </w:pBdr>
        <w:spacing w:before="360" w:after="200"/>
      </w:pPr>
      <w:r>
        <w:rPr>
          <w:rFonts w:ascii="Times New Roman" w:hAnsi="Times New Roman" w:eastAsia="微软雅黑"/>
          <w:b/>
          <w:i w:val="0"/>
          <w:color w:val="1B2A6B"/>
          <w:sz w:val="30"/>
        </w:rPr>
        <w:t>一、活动主题</w:t>
      </w:r>
    </w:p>
    <w:p w14:paraId="3096C438">
      <w:pPr>
        <w:spacing w:after="140" w:line="324" w:lineRule="auto"/>
        <w:ind w:firstLine="475"/>
      </w:pPr>
      <w:r>
        <w:rPr>
          <w:rFonts w:ascii="Times New Roman" w:hAnsi="Times New Roman"/>
          <w:b w:val="0"/>
          <w:i w:val="0"/>
          <w:color w:val="000000"/>
          <w:sz w:val="24"/>
        </w:rPr>
        <w:t>中国文化教学中心自我管理课程组、SafeSpace 安心岛主办，综合格斗社联合开展——“校园自我保护与基础防身术工作坊”</w:t>
      </w:r>
    </w:p>
    <w:p w14:paraId="710CCD87">
      <w:pPr>
        <w:pStyle w:val="2"/>
        <w:keepNext/>
        <w:pBdr>
          <w:bottom w:val="single" w:color="1B2A6B" w:sz="6" w:space="4"/>
        </w:pBdr>
        <w:spacing w:before="360" w:after="200"/>
      </w:pPr>
      <w:r>
        <w:rPr>
          <w:rFonts w:ascii="Times New Roman" w:hAnsi="Times New Roman" w:eastAsia="微软雅黑"/>
          <w:b/>
          <w:i w:val="0"/>
          <w:color w:val="1B2A6B"/>
          <w:sz w:val="30"/>
        </w:rPr>
        <w:t>二、活动背景</w:t>
      </w:r>
    </w:p>
    <w:p w14:paraId="1BDED009">
      <w:pPr>
        <w:spacing w:after="140" w:line="324" w:lineRule="auto"/>
        <w:ind w:firstLine="475"/>
      </w:pPr>
      <w:r>
        <w:rPr>
          <w:rFonts w:ascii="Times New Roman" w:hAnsi="Times New Roman"/>
          <w:sz w:val="24"/>
        </w:rPr>
        <w:t>本活动由中国文化教学中心自我管理课程组与 SafeSpace 安心岛共同主办，综合格斗社联合开展，面向全校学生提供零基础友好的自我保护工作坊，将安全意识教育与规范、低强度的基础防身训练结合。活动强调“避险优先、脱离优先”，帮助参与者建立更现实、可执行的风险判断与行动选择。</w:t>
      </w:r>
    </w:p>
    <w:p w14:paraId="6D696038">
      <w:pPr>
        <w:spacing w:after="140" w:line="324" w:lineRule="auto"/>
        <w:ind w:firstLine="475"/>
      </w:pPr>
      <w:r>
        <w:rPr>
          <w:rFonts w:ascii="Times New Roman" w:hAnsi="Times New Roman" w:eastAsia="宋体"/>
          <w:b w:val="0"/>
          <w:i w:val="0"/>
          <w:color w:val="000000"/>
          <w:sz w:val="24"/>
        </w:rPr>
        <w:t>根据与教练的最新沟通，90分钟核心课程将保证约60分钟靶具实操。教学先讲解撤离优先、最低限度防护与反击边界，再以图示和演示说明人体易受伤区域的风险，随后在拳靶/脚靶上进行手部、肘部与腿部基础动作练习。所有实操均以安全、可控、可随时停止为前提，不以参与者身体薄弱部位作为直接击打目标。</w:t>
      </w:r>
    </w:p>
    <w:p w14:paraId="1B9FC8C3">
      <w:pPr>
        <w:pStyle w:val="2"/>
        <w:keepNext/>
        <w:pBdr>
          <w:bottom w:val="single" w:color="1B2A6B" w:sz="6" w:space="4"/>
        </w:pBdr>
        <w:spacing w:before="360" w:after="200"/>
      </w:pPr>
      <w:r>
        <w:rPr>
          <w:rFonts w:ascii="Times New Roman" w:hAnsi="Times New Roman" w:eastAsia="微软雅黑"/>
          <w:b/>
          <w:i w:val="0"/>
          <w:color w:val="1B2A6B"/>
          <w:sz w:val="30"/>
        </w:rPr>
        <w:t>三、活动目的</w:t>
      </w:r>
    </w:p>
    <w:p w14:paraId="31B0C665">
      <w:pPr>
        <w:spacing w:after="140" w:line="324" w:lineRule="auto"/>
        <w:ind w:firstLine="475"/>
      </w:pPr>
      <w:r>
        <w:rPr>
          <w:rFonts w:ascii="Times New Roman" w:hAnsi="Times New Roman" w:eastAsia="宋体"/>
          <w:b/>
          <w:i w:val="0"/>
          <w:color w:val="000000"/>
          <w:sz w:val="24"/>
        </w:rPr>
        <w:t>1. 安全教育目标：</w:t>
      </w:r>
      <w:r>
        <w:rPr>
          <w:rFonts w:ascii="Times New Roman" w:hAnsi="Times New Roman" w:eastAsia="宋体"/>
          <w:b w:val="0"/>
          <w:i w:val="0"/>
          <w:color w:val="000000"/>
          <w:sz w:val="24"/>
        </w:rPr>
        <w:t>强化风险识别、边界表达、撤离与求助意识，使参与者理解“能避则避、能跑则跑”，自我保护的首要目标是降低风险并尽快脱离危险。</w:t>
      </w:r>
    </w:p>
    <w:p w14:paraId="5D1B2B60">
      <w:pPr>
        <w:spacing w:after="140" w:line="324" w:lineRule="auto"/>
        <w:ind w:firstLine="475"/>
      </w:pPr>
      <w:r>
        <w:rPr>
          <w:rFonts w:ascii="Times New Roman" w:hAnsi="Times New Roman" w:eastAsia="宋体"/>
          <w:b/>
          <w:i w:val="0"/>
          <w:color w:val="000000"/>
          <w:sz w:val="24"/>
        </w:rPr>
        <w:t>2. 技能体验目标：</w:t>
      </w:r>
      <w:r>
        <w:rPr>
          <w:rFonts w:ascii="Times New Roman" w:hAnsi="Times New Roman" w:eastAsia="宋体"/>
          <w:b w:val="0"/>
          <w:i w:val="0"/>
          <w:color w:val="000000"/>
          <w:sz w:val="24"/>
        </w:rPr>
        <w:t>在教练指导下体验基础手部、肘部和腿部防身动作及靶具训练，学习控制距离、稳定动作与安全停止机制，不追求对抗强度或“实战胜负”。</w:t>
      </w:r>
    </w:p>
    <w:p w14:paraId="3D00636D">
      <w:pPr>
        <w:spacing w:after="140" w:line="324" w:lineRule="auto"/>
        <w:ind w:firstLine="475"/>
      </w:pPr>
      <w:r>
        <w:rPr>
          <w:rFonts w:ascii="Times New Roman" w:hAnsi="Times New Roman" w:eastAsia="宋体"/>
          <w:b/>
          <w:i w:val="0"/>
          <w:color w:val="000000"/>
          <w:sz w:val="24"/>
        </w:rPr>
        <w:t>3. 校园支持目标：</w:t>
      </w:r>
      <w:r>
        <w:rPr>
          <w:rFonts w:ascii="Times New Roman" w:hAnsi="Times New Roman" w:eastAsia="宋体"/>
          <w:b w:val="0"/>
          <w:i w:val="0"/>
          <w:color w:val="000000"/>
          <w:sz w:val="24"/>
        </w:rPr>
        <w:t>通过中国文化教学中心自我管理课程组、SafeSpace 安心岛与综合格斗社协作，提升同学的自我保护与同伴支持意识，倡导尊重、自愿参与、包容和不责怪受害者的校园安全文化。</w:t>
      </w:r>
    </w:p>
    <w:p w14:paraId="1A96FEF5">
      <w:pPr>
        <w:pStyle w:val="2"/>
        <w:keepNext/>
        <w:pBdr>
          <w:bottom w:val="single" w:color="1B2A6B" w:sz="6" w:space="4"/>
        </w:pBdr>
        <w:spacing w:before="360" w:after="200"/>
      </w:pPr>
      <w:r>
        <w:rPr>
          <w:rFonts w:ascii="Times New Roman" w:hAnsi="Times New Roman" w:eastAsia="微软雅黑"/>
          <w:b/>
          <w:i w:val="0"/>
          <w:color w:val="1B2A6B"/>
          <w:sz w:val="30"/>
        </w:rPr>
        <w:t>四、活动时间与地点</w:t>
      </w:r>
    </w:p>
    <w:p w14:paraId="5D5B9EC9">
      <w:pPr>
        <w:spacing w:after="140" w:line="324" w:lineRule="auto"/>
        <w:ind w:firstLine="475"/>
      </w:pPr>
      <w:r>
        <w:rPr>
          <w:rFonts w:ascii="Times New Roman" w:hAnsi="Times New Roman" w:eastAsia="宋体"/>
          <w:b/>
          <w:i w:val="0"/>
          <w:color w:val="000000"/>
          <w:sz w:val="24"/>
        </w:rPr>
        <w:t>活动时间：</w:t>
      </w:r>
      <w:r>
        <w:rPr>
          <w:rFonts w:ascii="Times New Roman" w:hAnsi="Times New Roman" w:eastAsia="宋体"/>
          <w:b w:val="0"/>
          <w:i w:val="0"/>
          <w:color w:val="000000"/>
          <w:sz w:val="24"/>
          <w:highlight w:val="none"/>
        </w:rPr>
        <w:t>2026年10月13日（周二，Week 5），核心</w:t>
      </w:r>
      <w:r>
        <w:rPr>
          <w:rFonts w:ascii="Times New Roman" w:hAnsi="Times New Roman" w:eastAsia="宋体"/>
          <w:b w:val="0"/>
          <w:i w:val="0"/>
          <w:color w:val="000000"/>
          <w:sz w:val="24"/>
        </w:rPr>
        <w:t>课程90分钟；具体开始时间待最终确认。</w:t>
      </w:r>
    </w:p>
    <w:p w14:paraId="2FA60914">
      <w:pPr>
        <w:spacing w:after="140" w:line="324" w:lineRule="auto"/>
        <w:ind w:firstLine="475"/>
      </w:pPr>
      <w:r>
        <w:rPr>
          <w:rFonts w:ascii="Times New Roman" w:hAnsi="Times New Roman" w:eastAsia="宋体"/>
          <w:b/>
          <w:i w:val="0"/>
          <w:color w:val="000000"/>
          <w:sz w:val="24"/>
        </w:rPr>
        <w:t>活动地点：</w:t>
      </w:r>
      <w:r>
        <w:rPr>
          <w:rFonts w:ascii="Times New Roman" w:hAnsi="Times New Roman" w:eastAsia="宋体"/>
          <w:b w:val="0"/>
          <w:i w:val="0"/>
          <w:color w:val="000000"/>
          <w:sz w:val="24"/>
        </w:rPr>
        <w:t>体育馆30</w:t>
      </w:r>
      <w:r>
        <w:rPr>
          <w:rFonts w:hint="eastAsia"/>
          <w:b w:val="0"/>
          <w:i w:val="0"/>
          <w:color w:val="000000"/>
          <w:sz w:val="24"/>
          <w:lang w:val="en-US" w:eastAsia="zh-CN"/>
        </w:rPr>
        <w:t>2</w:t>
      </w:r>
      <w:r>
        <w:rPr>
          <w:rFonts w:ascii="Times New Roman" w:hAnsi="Times New Roman" w:eastAsia="宋体"/>
          <w:b w:val="0"/>
          <w:i w:val="0"/>
          <w:color w:val="000000"/>
          <w:sz w:val="24"/>
        </w:rPr>
        <w:t>搏击室（场地较大，自带软垫，适合约30人分组练习）。</w:t>
      </w:r>
      <w:r>
        <w:rPr>
          <w:rFonts w:ascii="Times New Roman" w:hAnsi="Times New Roman" w:eastAsia="宋体"/>
          <w:b w:val="0"/>
          <w:i w:val="0"/>
          <w:color w:val="000000"/>
          <w:sz w:val="24"/>
        </w:rPr>
        <w:br w:type="textWrapping"/>
      </w:r>
      <w:r>
        <w:rPr>
          <w:rFonts w:ascii="Times New Roman" w:hAnsi="Times New Roman" w:eastAsia="宋体"/>
          <w:b/>
          <w:i w:val="0"/>
          <w:color w:val="000000"/>
          <w:sz w:val="24"/>
        </w:rPr>
        <w:t>预计规模：</w:t>
      </w:r>
      <w:r>
        <w:rPr>
          <w:rFonts w:ascii="Times New Roman" w:hAnsi="Times New Roman" w:eastAsia="宋体"/>
          <w:b w:val="0"/>
          <w:i w:val="0"/>
          <w:color w:val="000000"/>
          <w:sz w:val="24"/>
        </w:rPr>
        <w:t>约30人，面向全校学生，零基础可参加；建议满额后进入候补名单。</w:t>
      </w:r>
    </w:p>
    <w:p w14:paraId="523F98BF">
      <w:pPr>
        <w:pStyle w:val="2"/>
        <w:keepNext/>
        <w:pBdr>
          <w:bottom w:val="single" w:color="1B2A6B" w:sz="6" w:space="4"/>
        </w:pBdr>
        <w:spacing w:before="360" w:after="200"/>
      </w:pPr>
      <w:r>
        <w:rPr>
          <w:rFonts w:ascii="Times New Roman" w:hAnsi="Times New Roman" w:eastAsia="微软雅黑"/>
          <w:b/>
          <w:i w:val="0"/>
          <w:color w:val="1B2A6B"/>
          <w:sz w:val="30"/>
        </w:rPr>
        <w:t>五、活动流程</w:t>
      </w:r>
    </w:p>
    <w:p w14:paraId="338F97ED">
      <w:pPr>
        <w:pStyle w:val="3"/>
        <w:keepNext/>
        <w:spacing w:before="240" w:after="140"/>
      </w:pPr>
      <w:r>
        <w:rPr>
          <w:rFonts w:ascii="Times New Roman" w:hAnsi="Times New Roman" w:eastAsia="微软雅黑"/>
          <w:b/>
          <w:i w:val="0"/>
          <w:color w:val="1B2A6B"/>
          <w:sz w:val="26"/>
        </w:rPr>
        <w:t>（一）前期准备阶段</w:t>
      </w:r>
    </w:p>
    <w:p w14:paraId="5390D1C8">
      <w:pPr>
        <w:spacing w:after="140" w:line="324" w:lineRule="auto"/>
        <w:ind w:firstLine="475"/>
      </w:pPr>
      <w:r>
        <w:rPr>
          <w:rFonts w:ascii="Times New Roman" w:hAnsi="Times New Roman" w:eastAsia="宋体"/>
          <w:b/>
          <w:i w:val="0"/>
          <w:color w:val="000000"/>
          <w:sz w:val="24"/>
        </w:rPr>
        <w:t>1. 物资准备：</w:t>
      </w:r>
      <w:r>
        <w:rPr>
          <w:rFonts w:ascii="Times New Roman" w:hAnsi="Times New Roman" w:eastAsia="宋体"/>
          <w:b w:val="0"/>
          <w:i w:val="0"/>
          <w:color w:val="000000"/>
          <w:sz w:val="24"/>
        </w:rPr>
        <w:t>活动前3天完成物资核对。场地自带软垫；拳套和拳靶由综合格斗社提供。SafeSpace准备基础急救包、冰袋/一次性冷敷用品、消毒湿巾/纸巾、饮用水、签到二维码/名单、参与者须知和反馈二维码。</w:t>
      </w:r>
    </w:p>
    <w:p w14:paraId="13511B65">
      <w:pPr>
        <w:spacing w:after="140" w:line="324" w:lineRule="auto"/>
        <w:ind w:firstLine="475"/>
      </w:pPr>
      <w:r>
        <w:rPr>
          <w:rFonts w:ascii="Times New Roman" w:hAnsi="Times New Roman" w:eastAsia="宋体"/>
          <w:b/>
          <w:i w:val="0"/>
          <w:color w:val="000000"/>
          <w:sz w:val="24"/>
        </w:rPr>
        <w:t>2. 场地与安全检查：</w:t>
      </w:r>
      <w:r>
        <w:rPr>
          <w:rFonts w:ascii="Times New Roman" w:hAnsi="Times New Roman" w:eastAsia="宋体"/>
          <w:b w:val="0"/>
          <w:i w:val="0"/>
          <w:color w:val="000000"/>
          <w:sz w:val="24"/>
        </w:rPr>
        <w:t>活动当天提前45-60分钟到体育馆</w:t>
      </w:r>
      <w:r>
        <w:rPr>
          <w:rFonts w:hint="eastAsia"/>
          <w:b w:val="0"/>
          <w:i w:val="0"/>
          <w:color w:val="000000"/>
          <w:sz w:val="24"/>
          <w:lang w:eastAsia="zh-CN"/>
        </w:rPr>
        <w:t>302</w:t>
      </w:r>
      <w:r>
        <w:rPr>
          <w:rFonts w:ascii="Times New Roman" w:hAnsi="Times New Roman" w:eastAsia="宋体"/>
          <w:b w:val="0"/>
          <w:i w:val="0"/>
          <w:color w:val="000000"/>
          <w:sz w:val="24"/>
        </w:rPr>
        <w:t>搏击室，检查软垫、防滑情况、训练间距、拳靶/脚靶、现场动线与急救物资；明确休息区和不参与实操的旁听区域。</w:t>
      </w:r>
    </w:p>
    <w:p w14:paraId="3F95F6D1">
      <w:pPr>
        <w:spacing w:after="140" w:line="324" w:lineRule="auto"/>
        <w:ind w:firstLine="475"/>
      </w:pPr>
      <w:r>
        <w:rPr>
          <w:rFonts w:ascii="Times New Roman" w:hAnsi="Times New Roman" w:eastAsia="宋体"/>
          <w:b/>
          <w:i w:val="0"/>
          <w:color w:val="000000"/>
          <w:sz w:val="24"/>
        </w:rPr>
        <w:t>3. 人员与参与者确认：</w:t>
      </w:r>
      <w:r>
        <w:rPr>
          <w:rFonts w:ascii="Times New Roman" w:hAnsi="Times New Roman" w:eastAsia="宋体"/>
          <w:b w:val="0"/>
          <w:i w:val="0"/>
          <w:color w:val="000000"/>
          <w:sz w:val="24"/>
        </w:rPr>
        <w:t>活动前3天确认教练、综合格斗社工作人员及SafeSpace各部门现场人员；完成正式名单和候补名单，并向参与者发送时间、地点、运动服装建议、身体情况提醒、双人练习同意与随时退出机制。</w:t>
      </w:r>
    </w:p>
    <w:p w14:paraId="4F2D29C9">
      <w:pPr>
        <w:pStyle w:val="3"/>
        <w:keepNext/>
        <w:spacing w:before="240" w:after="140"/>
      </w:pPr>
      <w:r>
        <w:rPr>
          <w:rFonts w:ascii="Times New Roman" w:hAnsi="Times New Roman" w:eastAsia="微软雅黑"/>
          <w:b/>
          <w:i w:val="0"/>
          <w:color w:val="1B2A6B"/>
          <w:sz w:val="26"/>
        </w:rPr>
        <w:t>（二）活动进行阶段</w:t>
      </w:r>
    </w:p>
    <w:p w14:paraId="3532B9A8">
      <w:pPr>
        <w:spacing w:after="140" w:line="324" w:lineRule="auto"/>
        <w:ind w:firstLine="475"/>
      </w:pPr>
      <w:r>
        <w:rPr>
          <w:rFonts w:ascii="Times New Roman" w:hAnsi="Times New Roman" w:eastAsia="宋体"/>
          <w:b/>
          <w:i w:val="0"/>
          <w:color w:val="000000"/>
          <w:sz w:val="24"/>
        </w:rPr>
        <w:t>1. 签到与入场：</w:t>
      </w:r>
      <w:r>
        <w:rPr>
          <w:rFonts w:ascii="Times New Roman" w:hAnsi="Times New Roman" w:eastAsia="宋体"/>
          <w:b w:val="0"/>
          <w:i w:val="0"/>
          <w:color w:val="000000"/>
          <w:sz w:val="24"/>
        </w:rPr>
        <w:t>活动开始前20分钟开放签到。组织部工作人员核对名单并引导入场；参与者可选择旁听或参加实操，不愿出镜者可提前向工作人员说明。</w:t>
      </w:r>
    </w:p>
    <w:p w14:paraId="724600C7">
      <w:pPr>
        <w:spacing w:after="140" w:line="324" w:lineRule="auto"/>
        <w:ind w:firstLine="475"/>
      </w:pPr>
      <w:r>
        <w:rPr>
          <w:rFonts w:ascii="Times New Roman" w:hAnsi="Times New Roman" w:eastAsia="宋体"/>
          <w:b/>
          <w:i w:val="0"/>
          <w:color w:val="000000"/>
          <w:sz w:val="24"/>
        </w:rPr>
        <w:t>2. 开场与安全说明：</w:t>
      </w:r>
      <w:r>
        <w:rPr>
          <w:rFonts w:ascii="Times New Roman" w:hAnsi="Times New Roman" w:eastAsia="宋体"/>
          <w:b w:val="0"/>
          <w:i w:val="0"/>
          <w:color w:val="000000"/>
          <w:sz w:val="24"/>
        </w:rPr>
        <w:t>活动负责人/主持人介绍中国文化教学中心自我管理课程组、SafeSpace 安心岛、综合格斗社及活动目标；说明停止口令、退出机制、双人配合规则和“自我保护优先于对抗”的原则。</w:t>
      </w:r>
    </w:p>
    <w:p w14:paraId="15E127EC">
      <w:pPr>
        <w:spacing w:after="140" w:line="324" w:lineRule="auto"/>
        <w:ind w:firstLine="475"/>
      </w:pPr>
      <w:r>
        <w:rPr>
          <w:rFonts w:ascii="Times New Roman" w:hAnsi="Times New Roman" w:eastAsia="宋体"/>
          <w:b/>
          <w:i w:val="0"/>
          <w:color w:val="000000"/>
          <w:sz w:val="24"/>
        </w:rPr>
        <w:t>3. 教练说明：</w:t>
      </w:r>
      <w:r>
        <w:rPr>
          <w:rFonts w:ascii="Times New Roman" w:hAnsi="Times New Roman" w:eastAsia="宋体"/>
          <w:b w:val="0"/>
          <w:i w:val="0"/>
          <w:color w:val="000000"/>
          <w:sz w:val="24"/>
        </w:rPr>
        <w:t>教练强调“避险和撤离优先”；仅在无法安全撤离时讨论最低限度、以创造脱离机会为目的的防护与反击边界。人体易受伤区域仅作风险识别与安全教育，不进行人体直接击打训练。</w:t>
      </w:r>
    </w:p>
    <w:p w14:paraId="4E46B925">
      <w:pPr>
        <w:spacing w:after="0" w:line="276" w:lineRule="auto"/>
        <w:ind w:firstLine="475"/>
      </w:pPr>
      <w:r>
        <w:rPr>
          <w:rFonts w:ascii="Times New Roman" w:hAnsi="Times New Roman" w:eastAsia="宋体"/>
          <w:b/>
          <w:i w:val="0"/>
          <w:color w:val="000000"/>
          <w:sz w:val="24"/>
        </w:rPr>
        <w:t>4. 90分钟核心课程：</w:t>
      </w:r>
      <w:r>
        <w:rPr>
          <w:rFonts w:ascii="Times New Roman" w:hAnsi="Times New Roman" w:eastAsia="宋体"/>
          <w:b w:val="0"/>
          <w:i w:val="0"/>
          <w:color w:val="000000"/>
          <w:sz w:val="24"/>
        </w:rPr>
        <w:br w:type="textWrapping"/>
      </w:r>
      <w:r>
        <w:rPr>
          <w:rFonts w:ascii="Times New Roman" w:hAnsi="Times New Roman" w:eastAsia="宋体"/>
          <w:b w:val="0"/>
          <w:i w:val="0"/>
          <w:color w:val="000000"/>
          <w:sz w:val="24"/>
        </w:rPr>
        <w:t>0-10分钟：避险优先、安全原则与训练规则；</w:t>
      </w:r>
      <w:r>
        <w:rPr>
          <w:rFonts w:ascii="Times New Roman" w:hAnsi="Times New Roman" w:eastAsia="宋体"/>
          <w:b w:val="0"/>
          <w:i w:val="0"/>
          <w:color w:val="000000"/>
          <w:sz w:val="24"/>
        </w:rPr>
        <w:br w:type="textWrapping"/>
      </w:r>
      <w:r>
        <w:rPr>
          <w:rFonts w:ascii="Times New Roman" w:hAnsi="Times New Roman" w:eastAsia="宋体"/>
          <w:b w:val="0"/>
          <w:i w:val="0"/>
          <w:color w:val="000000"/>
          <w:sz w:val="24"/>
        </w:rPr>
        <w:t>10-30分钟：风险识别、人体易受伤区域图示/演示及防护边界；</w:t>
      </w:r>
      <w:r>
        <w:rPr>
          <w:rFonts w:ascii="Times New Roman" w:hAnsi="Times New Roman" w:eastAsia="宋体"/>
          <w:b w:val="0"/>
          <w:i w:val="0"/>
          <w:color w:val="000000"/>
          <w:sz w:val="24"/>
        </w:rPr>
        <w:br w:type="textWrapping"/>
      </w:r>
      <w:r>
        <w:rPr>
          <w:rFonts w:ascii="Times New Roman" w:hAnsi="Times New Roman" w:eastAsia="宋体"/>
          <w:b w:val="0"/>
          <w:i w:val="0"/>
          <w:color w:val="000000"/>
          <w:sz w:val="24"/>
        </w:rPr>
        <w:t>30-90分钟：靶具实操。以手部动作、抱头撞肘、正蹬为主要练习内容；弹踢视教练现场判断作为可选演示或低强度靶练。所有实操均使用拳靶/脚靶等器材，控制力度，不安排全接触对抗。</w:t>
      </w:r>
    </w:p>
    <w:p w14:paraId="3D9E4FCD">
      <w:pPr>
        <w:spacing w:after="140" w:line="324" w:lineRule="auto"/>
        <w:ind w:firstLine="475"/>
      </w:pPr>
      <w:r>
        <w:rPr>
          <w:rFonts w:ascii="Times New Roman" w:hAnsi="Times New Roman" w:eastAsia="宋体"/>
          <w:b/>
          <w:i w:val="0"/>
          <w:color w:val="000000"/>
          <w:sz w:val="24"/>
        </w:rPr>
        <w:t>5. 实操组织：</w:t>
      </w:r>
      <w:r>
        <w:rPr>
          <w:rFonts w:ascii="Times New Roman" w:hAnsi="Times New Roman" w:eastAsia="宋体"/>
          <w:b w:val="0"/>
          <w:i w:val="0"/>
          <w:color w:val="000000"/>
          <w:sz w:val="24"/>
        </w:rPr>
        <w:t>由教练和综合格斗社工作人员负责动作示范、分组、持靶方式、强度控制与技术安全；参与者不得自行加力、加速或增加难度，任何人喊停均应立即停止。</w:t>
      </w:r>
    </w:p>
    <w:p w14:paraId="22575CF6">
      <w:pPr>
        <w:spacing w:after="140" w:line="324" w:lineRule="auto"/>
        <w:ind w:firstLine="475"/>
      </w:pPr>
      <w:r>
        <w:rPr>
          <w:rFonts w:ascii="Times New Roman" w:hAnsi="Times New Roman" w:eastAsia="宋体"/>
          <w:b/>
          <w:i w:val="0"/>
          <w:color w:val="000000"/>
          <w:sz w:val="24"/>
        </w:rPr>
        <w:t>6. 结束与反馈：</w:t>
      </w:r>
      <w:r>
        <w:rPr>
          <w:rFonts w:ascii="Times New Roman" w:hAnsi="Times New Roman" w:eastAsia="宋体"/>
          <w:b w:val="0"/>
          <w:i w:val="0"/>
          <w:color w:val="000000"/>
          <w:sz w:val="24"/>
        </w:rPr>
        <w:t>核心课程结束后安排简短Q&amp;A和反馈二维码；提醒参与者课程不等同于专业格斗训练，也不能保证真实风险场景中避免伤害。合影自愿参加，随后清点器材并恢复场地。</w:t>
      </w:r>
    </w:p>
    <w:p w14:paraId="359F0B2C">
      <w:pPr>
        <w:pStyle w:val="3"/>
        <w:keepNext/>
        <w:spacing w:before="240" w:after="140"/>
      </w:pPr>
      <w:r>
        <w:rPr>
          <w:rFonts w:ascii="Times New Roman" w:hAnsi="Times New Roman" w:eastAsia="微软雅黑"/>
          <w:b/>
          <w:i w:val="0"/>
          <w:color w:val="1B2A6B"/>
          <w:sz w:val="26"/>
        </w:rPr>
        <w:t>（三）后期总结阶段</w:t>
      </w:r>
    </w:p>
    <w:p w14:paraId="1D29BDFF">
      <w:pPr>
        <w:spacing w:after="140" w:line="324" w:lineRule="auto"/>
        <w:ind w:firstLine="475"/>
      </w:pPr>
      <w:r>
        <w:rPr>
          <w:rFonts w:ascii="Times New Roman" w:hAnsi="Times New Roman" w:eastAsia="宋体"/>
          <w:b/>
          <w:i w:val="0"/>
          <w:color w:val="000000"/>
          <w:sz w:val="24"/>
        </w:rPr>
        <w:t>1. 活动记录与宣传：</w:t>
      </w:r>
      <w:r>
        <w:rPr>
          <w:rFonts w:ascii="Times New Roman" w:hAnsi="Times New Roman" w:eastAsia="宋体"/>
          <w:b w:val="0"/>
          <w:i w:val="0"/>
          <w:color w:val="000000"/>
          <w:sz w:val="24"/>
        </w:rPr>
        <w:t>活动结束后24小时内整理签到、反馈、照片和短视频素材；经宣传部审核后用于社团群、公众号或后续活动复盘，不公开不愿出镜参与者的影像。</w:t>
      </w:r>
    </w:p>
    <w:p w14:paraId="6FC8E7AF">
      <w:pPr>
        <w:spacing w:after="140" w:line="324" w:lineRule="auto"/>
        <w:ind w:firstLine="475"/>
      </w:pPr>
      <w:r>
        <w:rPr>
          <w:rFonts w:ascii="Times New Roman" w:hAnsi="Times New Roman" w:eastAsia="宋体"/>
          <w:b/>
          <w:i w:val="0"/>
          <w:color w:val="000000"/>
          <w:sz w:val="24"/>
        </w:rPr>
        <w:t>2. 复盘与归档：</w:t>
      </w:r>
      <w:r>
        <w:rPr>
          <w:rFonts w:ascii="Times New Roman" w:hAnsi="Times New Roman" w:eastAsia="宋体"/>
          <w:b w:val="0"/>
          <w:i w:val="0"/>
          <w:color w:val="000000"/>
          <w:sz w:val="24"/>
        </w:rPr>
        <w:t>活动负责人汇总组织部、活动部、宣传部、综合格斗社与教练反馈，形成活动复盘；组织部财务负责人按学校要求整理预算、发票、支付截图和相关财务记录。</w:t>
      </w:r>
    </w:p>
    <w:p w14:paraId="3A81F1D9">
      <w:pPr>
        <w:pStyle w:val="2"/>
        <w:keepNext/>
        <w:pBdr>
          <w:bottom w:val="single" w:color="1B2A6B" w:sz="6" w:space="4"/>
        </w:pBdr>
        <w:spacing w:before="360" w:after="200"/>
      </w:pPr>
      <w:r>
        <w:rPr>
          <w:rFonts w:ascii="Times New Roman" w:hAnsi="Times New Roman" w:eastAsia="微软雅黑"/>
          <w:b/>
          <w:i w:val="0"/>
          <w:color w:val="1B2A6B"/>
          <w:sz w:val="30"/>
        </w:rPr>
        <w:t>六、前期准备</w:t>
      </w:r>
    </w:p>
    <w:p w14:paraId="62864EA5">
      <w:pPr>
        <w:spacing w:after="140" w:line="324" w:lineRule="auto"/>
        <w:ind w:firstLine="475"/>
      </w:pPr>
      <w:r>
        <w:rPr>
          <w:rFonts w:ascii="Times New Roman" w:hAnsi="Times New Roman" w:eastAsia="宋体"/>
          <w:b/>
          <w:i w:val="0"/>
          <w:color w:val="000000"/>
          <w:sz w:val="24"/>
        </w:rPr>
        <w:t>1. 场地与器材：</w:t>
      </w:r>
      <w:r>
        <w:rPr>
          <w:rFonts w:ascii="Times New Roman" w:hAnsi="Times New Roman" w:eastAsia="宋体"/>
          <w:b w:val="0"/>
          <w:i w:val="0"/>
          <w:color w:val="000000"/>
          <w:sz w:val="24"/>
        </w:rPr>
        <w:t>确认体育馆3</w:t>
      </w:r>
      <w:r>
        <w:rPr>
          <w:rFonts w:hint="eastAsia"/>
          <w:b w:val="0"/>
          <w:i w:val="0"/>
          <w:color w:val="000000"/>
          <w:sz w:val="24"/>
          <w:lang w:val="en-US" w:eastAsia="zh-CN"/>
        </w:rPr>
        <w:t>02</w:t>
      </w:r>
      <w:r>
        <w:rPr>
          <w:rFonts w:ascii="Times New Roman" w:hAnsi="Times New Roman" w:eastAsia="宋体"/>
          <w:b w:val="0"/>
          <w:i w:val="0"/>
          <w:color w:val="000000"/>
          <w:sz w:val="24"/>
        </w:rPr>
        <w:t>搏击室预定；场地自带软垫。综合格斗社提供拳套、拳靶/脚靶等训练器材；活动前检查器材完整性、场地防滑和训练间距。</w:t>
      </w:r>
    </w:p>
    <w:p w14:paraId="2B510AF7">
      <w:pPr>
        <w:spacing w:after="140" w:line="324" w:lineRule="auto"/>
        <w:ind w:firstLine="475"/>
      </w:pPr>
      <w:r>
        <w:rPr>
          <w:rFonts w:ascii="Times New Roman" w:hAnsi="Times New Roman"/>
          <w:b/>
          <w:bCs/>
          <w:sz w:val="24"/>
        </w:rPr>
        <w:t>2. 宣传与报名</w:t>
      </w:r>
      <w:r>
        <w:rPr>
          <w:rFonts w:ascii="Times New Roman" w:hAnsi="Times New Roman"/>
          <w:sz w:val="24"/>
        </w:rPr>
        <w:t>：通过SafeSpace公众号、综合格斗社社群、学校公邮、微信群/朋友圈及必要的线下海报发布活动信息。报名上限约30人并设置少量候补，活动前3-5天进行二次确认。宣传内容强调“零基础、专业教练、低强度靶练、自我保护意识”，避免夸张或性别刻板表达。</w:t>
      </w:r>
    </w:p>
    <w:p w14:paraId="1D7F85D2">
      <w:pPr>
        <w:spacing w:after="140" w:line="324" w:lineRule="auto"/>
        <w:ind w:firstLine="475"/>
        <w:rPr>
          <w:rFonts w:ascii="Times New Roman" w:hAnsi="Times New Roman" w:eastAsia="宋体"/>
          <w:b/>
          <w:i w:val="0"/>
          <w:color w:val="000000"/>
          <w:sz w:val="24"/>
        </w:rPr>
      </w:pPr>
      <w:r>
        <w:rPr>
          <w:rFonts w:ascii="Times New Roman" w:hAnsi="Times New Roman" w:eastAsia="宋体"/>
          <w:b/>
          <w:i w:val="0"/>
          <w:color w:val="000000"/>
          <w:sz w:val="24"/>
        </w:rPr>
        <w:t>3. 安全与资料准备：</w:t>
      </w:r>
      <w:r>
        <w:rPr>
          <w:rFonts w:ascii="Times New Roman" w:hAnsi="Times New Roman" w:eastAsia="宋体"/>
          <w:b w:val="0"/>
          <w:bCs/>
          <w:i w:val="0"/>
          <w:color w:val="000000"/>
          <w:sz w:val="24"/>
          <w:lang w:val="en-US" w:eastAsia="zh-CN"/>
        </w:rPr>
        <w:t>通过问卷星设置健康状况确认环节，提醒参与者本次活动包含一定强度的搏击及防身术实操。参与者需确认自身不存在高血压、心脏病、心脑血管疾病或其他不适宜参加剧烈运动的健康状况。如存在相关疾病、身体不适或其他潜在风险，建议不参与实操环节</w:t>
      </w:r>
      <w:r>
        <w:rPr>
          <w:rFonts w:hint="eastAsia"/>
          <w:b w:val="0"/>
          <w:bCs/>
          <w:i w:val="0"/>
          <w:color w:val="000000"/>
          <w:sz w:val="24"/>
          <w:lang w:val="en-US" w:eastAsia="zh-CN"/>
        </w:rPr>
        <w:t>。</w:t>
      </w:r>
      <w:bookmarkStart w:id="0" w:name="_GoBack"/>
      <w:bookmarkEnd w:id="0"/>
    </w:p>
    <w:p w14:paraId="77207E8E">
      <w:pPr>
        <w:spacing w:after="140" w:line="324" w:lineRule="auto"/>
        <w:ind w:firstLine="475"/>
      </w:pPr>
      <w:r>
        <w:rPr>
          <w:rFonts w:ascii="Times New Roman" w:hAnsi="Times New Roman" w:eastAsia="宋体"/>
          <w:b w:val="0"/>
          <w:i w:val="0"/>
          <w:color w:val="000000"/>
          <w:sz w:val="24"/>
        </w:rPr>
        <w:t>报名/群通知中写明运动服装建议、身体不适者可旁听、双人练习需双方同意、可随时退出、禁止恶意加力和擅自练习未教学动作；准备参与者须知、风险评估、应急联系人和摄影不出镜机制。</w:t>
      </w:r>
    </w:p>
    <w:p w14:paraId="4537D27A">
      <w:pPr>
        <w:pStyle w:val="2"/>
        <w:keepNext/>
        <w:pageBreakBefore/>
        <w:pBdr>
          <w:bottom w:val="single" w:color="1B2A6B" w:sz="6" w:space="4"/>
        </w:pBdr>
        <w:spacing w:before="360" w:after="200"/>
      </w:pPr>
      <w:r>
        <w:rPr>
          <w:rFonts w:ascii="Times New Roman" w:hAnsi="Times New Roman" w:eastAsia="微软雅黑"/>
          <w:b/>
          <w:i w:val="0"/>
          <w:color w:val="1B2A6B"/>
          <w:sz w:val="30"/>
        </w:rPr>
        <w:t>七、人员分工</w:t>
      </w:r>
    </w:p>
    <w:tbl>
      <w:tblPr>
        <w:tblStyle w:val="11"/>
        <w:tblW w:w="7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3000"/>
        <w:gridCol w:w="3800"/>
        <w:gridCol w:w="800"/>
      </w:tblGrid>
      <w:tr w14:paraId="0B059EAE">
        <w:trPr>
          <w:cantSplit/>
          <w:tblHeader/>
        </w:trPr>
        <w:tc>
          <w:tcPr>
            <w:tcW w:w="3456" w:type="dxa"/>
            <w:shd w:val="clear" w:color="auto" w:fill="EAEEF7"/>
            <w:tcMar>
              <w:top w:w="100" w:type="dxa"/>
              <w:left w:w="120" w:type="dxa"/>
              <w:bottom w:w="100" w:type="dxa"/>
              <w:right w:w="120" w:type="dxa"/>
            </w:tcMar>
            <w:vAlign w:val="center"/>
          </w:tcPr>
          <w:p w14:paraId="5C0B3BF5">
            <w:pPr>
              <w:spacing w:after="0" w:line="240" w:lineRule="auto"/>
              <w:jc w:val="center"/>
            </w:pPr>
            <w:r>
              <w:rPr>
                <w:rFonts w:ascii="Times New Roman" w:hAnsi="Times New Roman" w:eastAsia="宋体" w:cs="Times New Roman"/>
                <w:b w:val="0"/>
                <w:i w:val="0"/>
                <w:color w:val="000000"/>
                <w:sz w:val="19"/>
                <w:szCs w:val="22"/>
              </w:rPr>
              <w:t>工作项目</w:t>
            </w:r>
          </w:p>
        </w:tc>
        <w:tc>
          <w:tcPr>
            <w:tcW w:w="4608" w:type="dxa"/>
            <w:shd w:val="clear" w:color="auto" w:fill="EAEEF7"/>
            <w:tcMar>
              <w:top w:w="100" w:type="dxa"/>
              <w:left w:w="120" w:type="dxa"/>
              <w:bottom w:w="100" w:type="dxa"/>
              <w:right w:w="120" w:type="dxa"/>
            </w:tcMar>
            <w:vAlign w:val="center"/>
          </w:tcPr>
          <w:p w14:paraId="6EF7A410">
            <w:pPr>
              <w:spacing w:after="0" w:line="240" w:lineRule="auto"/>
              <w:jc w:val="center"/>
            </w:pPr>
            <w:r>
              <w:rPr>
                <w:rFonts w:ascii="Times New Roman" w:hAnsi="Times New Roman" w:eastAsia="宋体" w:cs="Times New Roman"/>
                <w:b w:val="0"/>
                <w:i w:val="0"/>
                <w:color w:val="000000"/>
                <w:sz w:val="19"/>
                <w:szCs w:val="22"/>
              </w:rPr>
              <w:t>人员名单</w:t>
            </w:r>
          </w:p>
        </w:tc>
        <w:tc>
          <w:tcPr>
            <w:tcW w:w="936" w:type="dxa"/>
            <w:shd w:val="clear" w:color="auto" w:fill="EAEEF7"/>
            <w:tcMar>
              <w:top w:w="100" w:type="dxa"/>
              <w:left w:w="120" w:type="dxa"/>
              <w:bottom w:w="100" w:type="dxa"/>
              <w:right w:w="120" w:type="dxa"/>
            </w:tcMar>
            <w:vAlign w:val="center"/>
          </w:tcPr>
          <w:p w14:paraId="28DB659B">
            <w:pPr>
              <w:spacing w:after="0" w:line="240" w:lineRule="auto"/>
              <w:jc w:val="center"/>
            </w:pPr>
            <w:r>
              <w:rPr>
                <w:rFonts w:ascii="Times New Roman" w:hAnsi="Times New Roman" w:eastAsia="宋体" w:cs="Times New Roman"/>
                <w:b w:val="0"/>
                <w:i w:val="0"/>
                <w:color w:val="000000"/>
                <w:sz w:val="19"/>
                <w:szCs w:val="22"/>
              </w:rPr>
              <w:t>人数</w:t>
            </w:r>
          </w:p>
        </w:tc>
      </w:tr>
      <w:tr w14:paraId="62F7A38B">
        <w:trPr>
          <w:cantSplit/>
        </w:trPr>
        <w:tc>
          <w:tcPr>
            <w:tcW w:w="3456" w:type="dxa"/>
            <w:tcMar>
              <w:top w:w="100" w:type="dxa"/>
              <w:left w:w="120" w:type="dxa"/>
              <w:bottom w:w="100" w:type="dxa"/>
              <w:right w:w="120" w:type="dxa"/>
            </w:tcMar>
            <w:vAlign w:val="center"/>
          </w:tcPr>
          <w:p w14:paraId="60E4A1CC">
            <w:pPr>
              <w:spacing w:after="0" w:line="240" w:lineRule="auto"/>
            </w:pPr>
            <w:r>
              <w:rPr>
                <w:rFonts w:ascii="Times New Roman" w:hAnsi="Times New Roman" w:eastAsia="宋体"/>
                <w:b w:val="0"/>
                <w:i w:val="0"/>
                <w:color w:val="000000"/>
                <w:sz w:val="19"/>
              </w:rPr>
              <w:t>总负责人 / Leader</w:t>
            </w:r>
          </w:p>
        </w:tc>
        <w:tc>
          <w:tcPr>
            <w:tcW w:w="4608" w:type="dxa"/>
            <w:tcMar>
              <w:top w:w="100" w:type="dxa"/>
              <w:left w:w="120" w:type="dxa"/>
              <w:bottom w:w="100" w:type="dxa"/>
              <w:right w:w="120" w:type="dxa"/>
            </w:tcMar>
            <w:vAlign w:val="center"/>
          </w:tcPr>
          <w:p w14:paraId="035132B8">
            <w:pPr>
              <w:spacing w:after="0" w:line="240" w:lineRule="auto"/>
            </w:pPr>
            <w:r>
              <w:rPr>
                <w:rFonts w:ascii="Times New Roman" w:hAnsi="Times New Roman" w:eastAsia="宋体"/>
                <w:b w:val="0"/>
                <w:i w:val="0"/>
                <w:color w:val="000000"/>
                <w:sz w:val="19"/>
              </w:rPr>
              <w:t>聂靖霖</w:t>
            </w:r>
          </w:p>
        </w:tc>
        <w:tc>
          <w:tcPr>
            <w:tcW w:w="936" w:type="dxa"/>
            <w:tcMar>
              <w:top w:w="100" w:type="dxa"/>
              <w:left w:w="120" w:type="dxa"/>
              <w:bottom w:w="100" w:type="dxa"/>
              <w:right w:w="120" w:type="dxa"/>
            </w:tcMar>
            <w:vAlign w:val="center"/>
          </w:tcPr>
          <w:p w14:paraId="66BB0C7B">
            <w:pPr>
              <w:spacing w:after="0" w:line="240" w:lineRule="auto"/>
            </w:pPr>
            <w:r>
              <w:rPr>
                <w:rFonts w:ascii="Times New Roman" w:hAnsi="Times New Roman" w:eastAsia="宋体"/>
                <w:b w:val="0"/>
                <w:i w:val="0"/>
                <w:color w:val="000000"/>
                <w:sz w:val="19"/>
              </w:rPr>
              <w:t>1</w:t>
            </w:r>
          </w:p>
        </w:tc>
      </w:tr>
      <w:tr w14:paraId="1846C1ED">
        <w:trPr>
          <w:cantSplit/>
        </w:trPr>
        <w:tc>
          <w:tcPr>
            <w:tcW w:w="3456" w:type="dxa"/>
            <w:tcMar>
              <w:top w:w="100" w:type="dxa"/>
              <w:left w:w="120" w:type="dxa"/>
              <w:bottom w:w="100" w:type="dxa"/>
              <w:right w:w="120" w:type="dxa"/>
            </w:tcMar>
            <w:vAlign w:val="center"/>
          </w:tcPr>
          <w:p w14:paraId="1C952E02">
            <w:pPr>
              <w:spacing w:after="0" w:line="240" w:lineRule="auto"/>
            </w:pPr>
            <w:r>
              <w:rPr>
                <w:rFonts w:ascii="Times New Roman" w:hAnsi="Times New Roman" w:eastAsia="宋体"/>
                <w:b w:val="0"/>
                <w:i w:val="0"/>
                <w:color w:val="000000"/>
                <w:sz w:val="19"/>
              </w:rPr>
              <w:t>教学与技术安全</w:t>
            </w:r>
          </w:p>
        </w:tc>
        <w:tc>
          <w:tcPr>
            <w:tcW w:w="4608" w:type="dxa"/>
            <w:tcMar>
              <w:top w:w="100" w:type="dxa"/>
              <w:left w:w="120" w:type="dxa"/>
              <w:bottom w:w="100" w:type="dxa"/>
              <w:right w:w="120" w:type="dxa"/>
            </w:tcMar>
            <w:vAlign w:val="center"/>
          </w:tcPr>
          <w:p w14:paraId="23115739">
            <w:pPr>
              <w:spacing w:after="0" w:line="240" w:lineRule="auto"/>
              <w:rPr>
                <w:rFonts w:hint="default"/>
              </w:rPr>
            </w:pPr>
            <w:r>
              <w:rPr>
                <w:rFonts w:ascii="Times New Roman" w:hAnsi="Times New Roman" w:eastAsia="宋体"/>
                <w:b w:val="0"/>
                <w:i w:val="0"/>
                <w:color w:val="000000"/>
                <w:sz w:val="19"/>
              </w:rPr>
              <w:t>教练 ，荆冠宁</w:t>
            </w:r>
          </w:p>
        </w:tc>
        <w:tc>
          <w:tcPr>
            <w:tcW w:w="936" w:type="dxa"/>
            <w:tcMar>
              <w:top w:w="100" w:type="dxa"/>
              <w:left w:w="120" w:type="dxa"/>
              <w:bottom w:w="100" w:type="dxa"/>
              <w:right w:w="120" w:type="dxa"/>
            </w:tcMar>
            <w:vAlign w:val="center"/>
          </w:tcPr>
          <w:p w14:paraId="15751940">
            <w:pPr>
              <w:spacing w:after="0" w:line="240" w:lineRule="auto"/>
              <w:rPr>
                <w:rFonts w:hint="default"/>
              </w:rPr>
            </w:pPr>
            <w:r>
              <w:rPr>
                <w:rFonts w:ascii="Times New Roman" w:hAnsi="Times New Roman" w:eastAsia="宋体"/>
                <w:b w:val="0"/>
                <w:i w:val="0"/>
                <w:color w:val="000000"/>
                <w:sz w:val="19"/>
              </w:rPr>
              <w:t>2</w:t>
            </w:r>
          </w:p>
        </w:tc>
      </w:tr>
      <w:tr w14:paraId="3C8733F8">
        <w:trPr>
          <w:cantSplit/>
        </w:trPr>
        <w:tc>
          <w:tcPr>
            <w:tcW w:w="3456" w:type="dxa"/>
            <w:tcMar>
              <w:top w:w="100" w:type="dxa"/>
              <w:left w:w="120" w:type="dxa"/>
              <w:bottom w:w="100" w:type="dxa"/>
              <w:right w:w="120" w:type="dxa"/>
            </w:tcMar>
            <w:vAlign w:val="center"/>
          </w:tcPr>
          <w:p w14:paraId="27AB7B0E">
            <w:pPr>
              <w:spacing w:after="0" w:line="240" w:lineRule="auto"/>
            </w:pPr>
            <w:r>
              <w:rPr>
                <w:rFonts w:ascii="Times New Roman" w:hAnsi="Times New Roman" w:eastAsia="宋体"/>
                <w:b w:val="0"/>
                <w:i w:val="0"/>
                <w:color w:val="000000"/>
                <w:sz w:val="19"/>
              </w:rPr>
              <w:t>活动流程 / 主持</w:t>
            </w:r>
          </w:p>
        </w:tc>
        <w:tc>
          <w:tcPr>
            <w:tcW w:w="4608" w:type="dxa"/>
            <w:tcMar>
              <w:top w:w="100" w:type="dxa"/>
              <w:left w:w="120" w:type="dxa"/>
              <w:bottom w:w="100" w:type="dxa"/>
              <w:right w:w="120" w:type="dxa"/>
            </w:tcMar>
            <w:vAlign w:val="center"/>
          </w:tcPr>
          <w:p w14:paraId="3366525F">
            <w:pPr>
              <w:spacing w:after="0" w:line="240" w:lineRule="auto"/>
              <w:rPr>
                <w:rFonts w:hint="default"/>
              </w:rPr>
            </w:pPr>
            <w:r>
              <w:rPr>
                <w:rFonts w:ascii="Times New Roman" w:hAnsi="Times New Roman" w:eastAsia="宋体"/>
                <w:b w:val="0"/>
                <w:i w:val="0"/>
                <w:color w:val="000000"/>
                <w:sz w:val="19"/>
              </w:rPr>
              <w:t>聂靖霖</w:t>
            </w:r>
          </w:p>
        </w:tc>
        <w:tc>
          <w:tcPr>
            <w:tcW w:w="936" w:type="dxa"/>
            <w:tcMar>
              <w:top w:w="100" w:type="dxa"/>
              <w:left w:w="120" w:type="dxa"/>
              <w:bottom w:w="100" w:type="dxa"/>
              <w:right w:w="120" w:type="dxa"/>
            </w:tcMar>
            <w:vAlign w:val="center"/>
          </w:tcPr>
          <w:p w14:paraId="1E49070E">
            <w:pPr>
              <w:spacing w:after="0" w:line="240" w:lineRule="auto"/>
              <w:rPr>
                <w:rFonts w:hint="default"/>
              </w:rPr>
            </w:pPr>
            <w:r>
              <w:rPr>
                <w:rFonts w:ascii="Times New Roman" w:hAnsi="Times New Roman" w:eastAsia="宋体"/>
                <w:b w:val="0"/>
                <w:i w:val="0"/>
                <w:color w:val="000000"/>
                <w:sz w:val="19"/>
              </w:rPr>
              <w:t>1</w:t>
            </w:r>
          </w:p>
        </w:tc>
      </w:tr>
      <w:tr w14:paraId="19F669C2">
        <w:trPr>
          <w:cantSplit/>
        </w:trPr>
        <w:tc>
          <w:tcPr>
            <w:tcW w:w="3456" w:type="dxa"/>
            <w:tcMar>
              <w:top w:w="100" w:type="dxa"/>
              <w:left w:w="120" w:type="dxa"/>
              <w:bottom w:w="100" w:type="dxa"/>
              <w:right w:w="120" w:type="dxa"/>
            </w:tcMar>
            <w:vAlign w:val="center"/>
          </w:tcPr>
          <w:p w14:paraId="69FAAD33">
            <w:pPr>
              <w:spacing w:after="0" w:line="240" w:lineRule="auto"/>
            </w:pPr>
            <w:r>
              <w:rPr>
                <w:rFonts w:ascii="Times New Roman" w:hAnsi="Times New Roman" w:eastAsia="宋体"/>
                <w:b w:val="0"/>
                <w:i w:val="0"/>
                <w:color w:val="000000"/>
                <w:sz w:val="19"/>
              </w:rPr>
              <w:t>场地 / 报名 / 签到 / 后勤</w:t>
            </w:r>
          </w:p>
        </w:tc>
        <w:tc>
          <w:tcPr>
            <w:tcW w:w="4608" w:type="dxa"/>
            <w:tcMar>
              <w:top w:w="100" w:type="dxa"/>
              <w:left w:w="120" w:type="dxa"/>
              <w:bottom w:w="100" w:type="dxa"/>
              <w:right w:w="120" w:type="dxa"/>
            </w:tcMar>
            <w:vAlign w:val="center"/>
          </w:tcPr>
          <w:p w14:paraId="73F7C56C">
            <w:pPr>
              <w:spacing w:after="0" w:line="240" w:lineRule="auto"/>
              <w:rPr>
                <w:rFonts w:hint="default"/>
              </w:rPr>
            </w:pPr>
            <w:r>
              <w:rPr>
                <w:rFonts w:ascii="Times New Roman" w:hAnsi="Times New Roman" w:eastAsia="宋体"/>
                <w:b w:val="0"/>
                <w:i w:val="0"/>
                <w:color w:val="000000"/>
                <w:sz w:val="19"/>
              </w:rPr>
              <w:t>应佳卉</w:t>
            </w:r>
          </w:p>
        </w:tc>
        <w:tc>
          <w:tcPr>
            <w:tcW w:w="936" w:type="dxa"/>
            <w:tcMar>
              <w:top w:w="100" w:type="dxa"/>
              <w:left w:w="120" w:type="dxa"/>
              <w:bottom w:w="100" w:type="dxa"/>
              <w:right w:w="120" w:type="dxa"/>
            </w:tcMar>
            <w:vAlign w:val="center"/>
          </w:tcPr>
          <w:p w14:paraId="793102EB">
            <w:pPr>
              <w:spacing w:after="0" w:line="240" w:lineRule="auto"/>
              <w:rPr>
                <w:rFonts w:hint="default"/>
              </w:rPr>
            </w:pPr>
            <w:r>
              <w:rPr>
                <w:rFonts w:ascii="Times New Roman" w:hAnsi="Times New Roman" w:eastAsia="宋体"/>
                <w:b w:val="0"/>
                <w:i w:val="0"/>
                <w:color w:val="000000"/>
                <w:sz w:val="19"/>
              </w:rPr>
              <w:t>1</w:t>
            </w:r>
          </w:p>
        </w:tc>
      </w:tr>
      <w:tr w14:paraId="2C5BD11E">
        <w:trPr>
          <w:cantSplit/>
        </w:trPr>
        <w:tc>
          <w:tcPr>
            <w:tcW w:w="3456" w:type="dxa"/>
            <w:tcMar>
              <w:top w:w="100" w:type="dxa"/>
              <w:left w:w="120" w:type="dxa"/>
              <w:bottom w:w="100" w:type="dxa"/>
              <w:right w:w="120" w:type="dxa"/>
            </w:tcMar>
            <w:vAlign w:val="center"/>
          </w:tcPr>
          <w:p w14:paraId="4BB12D95">
            <w:pPr>
              <w:spacing w:after="0" w:line="240" w:lineRule="auto"/>
            </w:pPr>
            <w:r>
              <w:rPr>
                <w:rFonts w:ascii="Times New Roman" w:hAnsi="Times New Roman" w:eastAsia="宋体"/>
                <w:b w:val="0"/>
                <w:i w:val="0"/>
                <w:color w:val="000000"/>
                <w:sz w:val="19"/>
              </w:rPr>
              <w:t>财务 / 报销</w:t>
            </w:r>
          </w:p>
        </w:tc>
        <w:tc>
          <w:tcPr>
            <w:tcW w:w="4608" w:type="dxa"/>
            <w:tcMar>
              <w:top w:w="100" w:type="dxa"/>
              <w:left w:w="120" w:type="dxa"/>
              <w:bottom w:w="100" w:type="dxa"/>
              <w:right w:w="120" w:type="dxa"/>
            </w:tcMar>
            <w:vAlign w:val="center"/>
          </w:tcPr>
          <w:p w14:paraId="12DBC13A">
            <w:pPr>
              <w:spacing w:after="0" w:line="240" w:lineRule="auto"/>
              <w:rPr>
                <w:rFonts w:hint="default"/>
              </w:rPr>
            </w:pPr>
            <w:r>
              <w:rPr>
                <w:rFonts w:ascii="Times New Roman" w:hAnsi="Times New Roman" w:eastAsia="宋体"/>
                <w:b w:val="0"/>
                <w:i w:val="0"/>
                <w:color w:val="000000"/>
                <w:sz w:val="19"/>
              </w:rPr>
              <w:t>张琰</w:t>
            </w:r>
          </w:p>
        </w:tc>
        <w:tc>
          <w:tcPr>
            <w:tcW w:w="936" w:type="dxa"/>
            <w:tcMar>
              <w:top w:w="100" w:type="dxa"/>
              <w:left w:w="120" w:type="dxa"/>
              <w:bottom w:w="100" w:type="dxa"/>
              <w:right w:w="120" w:type="dxa"/>
            </w:tcMar>
            <w:vAlign w:val="center"/>
          </w:tcPr>
          <w:p w14:paraId="147C86D8">
            <w:pPr>
              <w:spacing w:after="0" w:line="240" w:lineRule="auto"/>
            </w:pPr>
            <w:r>
              <w:rPr>
                <w:rFonts w:ascii="Times New Roman" w:hAnsi="Times New Roman" w:eastAsia="宋体"/>
                <w:b w:val="0"/>
                <w:i w:val="0"/>
                <w:color w:val="000000"/>
                <w:sz w:val="19"/>
              </w:rPr>
              <w:t>1</w:t>
            </w:r>
          </w:p>
        </w:tc>
      </w:tr>
      <w:tr w14:paraId="303629E4">
        <w:trPr>
          <w:cantSplit/>
        </w:trPr>
        <w:tc>
          <w:tcPr>
            <w:tcW w:w="3456" w:type="dxa"/>
            <w:tcMar>
              <w:top w:w="100" w:type="dxa"/>
              <w:left w:w="120" w:type="dxa"/>
              <w:bottom w:w="100" w:type="dxa"/>
              <w:right w:w="120" w:type="dxa"/>
            </w:tcMar>
            <w:vAlign w:val="center"/>
          </w:tcPr>
          <w:p w14:paraId="11933016">
            <w:pPr>
              <w:spacing w:after="0" w:line="240" w:lineRule="auto"/>
            </w:pPr>
            <w:r>
              <w:rPr>
                <w:rFonts w:ascii="Times New Roman" w:hAnsi="Times New Roman" w:eastAsia="宋体"/>
                <w:b w:val="0"/>
                <w:i w:val="0"/>
                <w:color w:val="000000"/>
                <w:sz w:val="19"/>
              </w:rPr>
              <w:t>宣传 / 摄影 / 后宣</w:t>
            </w:r>
          </w:p>
        </w:tc>
        <w:tc>
          <w:tcPr>
            <w:tcW w:w="4608" w:type="dxa"/>
            <w:tcMar>
              <w:top w:w="100" w:type="dxa"/>
              <w:left w:w="120" w:type="dxa"/>
              <w:bottom w:w="100" w:type="dxa"/>
              <w:right w:w="120" w:type="dxa"/>
            </w:tcMar>
            <w:vAlign w:val="center"/>
          </w:tcPr>
          <w:p w14:paraId="35D0BA19">
            <w:pPr>
              <w:spacing w:after="0" w:line="240" w:lineRule="auto"/>
              <w:rPr>
                <w:rFonts w:hint="default" w:eastAsia="宋体"/>
                <w:lang w:val="en-US" w:eastAsia="zh-CN"/>
              </w:rPr>
            </w:pPr>
            <w:r>
              <w:rPr>
                <w:rFonts w:hint="eastAsia"/>
                <w:b w:val="0"/>
                <w:i w:val="0"/>
                <w:color w:val="000000"/>
                <w:sz w:val="19"/>
                <w:lang w:val="en-US" w:eastAsia="zh-CN"/>
              </w:rPr>
              <w:t>吴允儿</w:t>
            </w:r>
          </w:p>
        </w:tc>
        <w:tc>
          <w:tcPr>
            <w:tcW w:w="936" w:type="dxa"/>
            <w:tcMar>
              <w:top w:w="100" w:type="dxa"/>
              <w:left w:w="120" w:type="dxa"/>
              <w:bottom w:w="100" w:type="dxa"/>
              <w:right w:w="120" w:type="dxa"/>
            </w:tcMar>
            <w:vAlign w:val="center"/>
          </w:tcPr>
          <w:p w14:paraId="05CF37F0">
            <w:pPr>
              <w:spacing w:after="0" w:line="240" w:lineRule="auto"/>
              <w:rPr>
                <w:rFonts w:hint="default"/>
              </w:rPr>
            </w:pPr>
            <w:r>
              <w:rPr>
                <w:rFonts w:ascii="Times New Roman" w:hAnsi="Times New Roman" w:eastAsia="宋体"/>
                <w:b w:val="0"/>
                <w:i w:val="0"/>
                <w:color w:val="000000"/>
                <w:sz w:val="19"/>
              </w:rPr>
              <w:t>1</w:t>
            </w:r>
          </w:p>
        </w:tc>
      </w:tr>
      <w:tr w14:paraId="2AC7B95F">
        <w:trPr>
          <w:cantSplit/>
        </w:trPr>
        <w:tc>
          <w:tcPr>
            <w:tcW w:w="3456" w:type="dxa"/>
            <w:tcMar>
              <w:top w:w="100" w:type="dxa"/>
              <w:left w:w="120" w:type="dxa"/>
              <w:bottom w:w="100" w:type="dxa"/>
              <w:right w:w="120" w:type="dxa"/>
            </w:tcMar>
            <w:vAlign w:val="center"/>
          </w:tcPr>
          <w:p w14:paraId="2FA36E25">
            <w:pPr>
              <w:spacing w:after="0" w:line="240" w:lineRule="auto"/>
            </w:pPr>
            <w:r>
              <w:rPr>
                <w:rFonts w:ascii="Times New Roman" w:hAnsi="Times New Roman" w:eastAsia="宋体"/>
                <w:b w:val="0"/>
                <w:i w:val="0"/>
                <w:color w:val="000000"/>
                <w:sz w:val="19"/>
              </w:rPr>
              <w:t>外部沟通 / 合作对接</w:t>
            </w:r>
          </w:p>
        </w:tc>
        <w:tc>
          <w:tcPr>
            <w:tcW w:w="4608" w:type="dxa"/>
            <w:tcMar>
              <w:top w:w="100" w:type="dxa"/>
              <w:left w:w="120" w:type="dxa"/>
              <w:bottom w:w="100" w:type="dxa"/>
              <w:right w:w="120" w:type="dxa"/>
            </w:tcMar>
            <w:vAlign w:val="center"/>
          </w:tcPr>
          <w:p w14:paraId="2134C0E2">
            <w:pPr>
              <w:spacing w:after="0" w:line="240" w:lineRule="auto"/>
              <w:rPr>
                <w:rFonts w:hint="default"/>
              </w:rPr>
            </w:pPr>
            <w:r>
              <w:rPr>
                <w:rFonts w:ascii="Times New Roman" w:hAnsi="Times New Roman" w:eastAsia="宋体"/>
                <w:b w:val="0"/>
                <w:i w:val="0"/>
                <w:color w:val="000000"/>
                <w:sz w:val="19"/>
              </w:rPr>
              <w:t>刘乙可</w:t>
            </w:r>
          </w:p>
        </w:tc>
        <w:tc>
          <w:tcPr>
            <w:tcW w:w="936" w:type="dxa"/>
            <w:tcMar>
              <w:top w:w="100" w:type="dxa"/>
              <w:left w:w="120" w:type="dxa"/>
              <w:bottom w:w="100" w:type="dxa"/>
              <w:right w:w="120" w:type="dxa"/>
            </w:tcMar>
            <w:vAlign w:val="center"/>
          </w:tcPr>
          <w:p w14:paraId="20F838E1">
            <w:pPr>
              <w:spacing w:after="0" w:line="240" w:lineRule="auto"/>
              <w:rPr>
                <w:rFonts w:hint="default"/>
              </w:rPr>
            </w:pPr>
            <w:r>
              <w:rPr>
                <w:rFonts w:ascii="Times New Roman" w:hAnsi="Times New Roman" w:eastAsia="宋体"/>
                <w:b w:val="0"/>
                <w:i w:val="0"/>
                <w:color w:val="000000"/>
                <w:sz w:val="19"/>
              </w:rPr>
              <w:t>1</w:t>
            </w:r>
          </w:p>
        </w:tc>
      </w:tr>
      <w:tr w14:paraId="1DD85650">
        <w:trPr>
          <w:cantSplit/>
        </w:trPr>
        <w:tc>
          <w:tcPr>
            <w:tcW w:w="3456" w:type="dxa"/>
            <w:tcMar>
              <w:top w:w="100" w:type="dxa"/>
              <w:left w:w="120" w:type="dxa"/>
              <w:bottom w:w="100" w:type="dxa"/>
              <w:right w:w="120" w:type="dxa"/>
            </w:tcMar>
            <w:vAlign w:val="center"/>
          </w:tcPr>
          <w:p w14:paraId="5E6724DB">
            <w:pPr>
              <w:spacing w:after="0" w:line="240" w:lineRule="auto"/>
            </w:pPr>
            <w:r>
              <w:rPr>
                <w:rFonts w:ascii="Times New Roman" w:hAnsi="Times New Roman" w:eastAsia="宋体"/>
                <w:b w:val="0"/>
                <w:i w:val="0"/>
                <w:color w:val="000000"/>
                <w:sz w:val="19"/>
              </w:rPr>
              <w:t>现场秩序 / 应急协同</w:t>
            </w:r>
          </w:p>
        </w:tc>
        <w:tc>
          <w:tcPr>
            <w:tcW w:w="4608" w:type="dxa"/>
            <w:tcMar>
              <w:top w:w="100" w:type="dxa"/>
              <w:left w:w="120" w:type="dxa"/>
              <w:bottom w:w="100" w:type="dxa"/>
              <w:right w:w="120" w:type="dxa"/>
            </w:tcMar>
            <w:vAlign w:val="center"/>
          </w:tcPr>
          <w:p w14:paraId="4FAE6699">
            <w:pPr>
              <w:spacing w:after="0" w:line="240" w:lineRule="auto"/>
              <w:rPr>
                <w:rFonts w:hint="default"/>
              </w:rPr>
            </w:pPr>
            <w:r>
              <w:rPr>
                <w:rFonts w:ascii="Times New Roman" w:hAnsi="Times New Roman" w:eastAsia="宋体"/>
                <w:b w:val="0"/>
                <w:i w:val="0"/>
                <w:color w:val="000000"/>
                <w:sz w:val="19"/>
              </w:rPr>
              <w:t>聂靖霖，荆冠宁</w:t>
            </w:r>
          </w:p>
        </w:tc>
        <w:tc>
          <w:tcPr>
            <w:tcW w:w="936" w:type="dxa"/>
            <w:tcMar>
              <w:top w:w="100" w:type="dxa"/>
              <w:left w:w="120" w:type="dxa"/>
              <w:bottom w:w="100" w:type="dxa"/>
              <w:right w:w="120" w:type="dxa"/>
            </w:tcMar>
            <w:vAlign w:val="center"/>
          </w:tcPr>
          <w:p w14:paraId="3BEA1E0A">
            <w:pPr>
              <w:spacing w:after="0" w:line="240" w:lineRule="auto"/>
              <w:rPr>
                <w:rFonts w:hint="default"/>
              </w:rPr>
            </w:pPr>
            <w:r>
              <w:rPr>
                <w:rFonts w:ascii="Times New Roman" w:hAnsi="Times New Roman" w:eastAsia="宋体"/>
                <w:b w:val="0"/>
                <w:i w:val="0"/>
                <w:color w:val="000000"/>
                <w:sz w:val="19"/>
              </w:rPr>
              <w:t>2</w:t>
            </w:r>
          </w:p>
        </w:tc>
      </w:tr>
    </w:tbl>
    <w:p w14:paraId="49518671">
      <w:pPr>
        <w:spacing w:before="100" w:line="324" w:lineRule="auto"/>
      </w:pPr>
      <w:r>
        <w:rPr>
          <w:rFonts w:ascii="Times New Roman" w:hAnsi="Times New Roman" w:eastAsia="宋体"/>
          <w:b w:val="0"/>
          <w:i w:val="0"/>
          <w:color w:val="595959"/>
          <w:sz w:val="21"/>
        </w:rPr>
        <w:t>注：本活动采用“活动负责人 → 各部门部长 → 管理层 → 按需要安排社员”的执行方式。活动负责人负责跨部门统筹和最终决策；部长负责本部门分工、进度检查与成果验收；管理层推进具体模块；普通社员承担签到、引导、摄影、物资等可拆分执行任务。财务事项由组织部财务负责人专项处理。</w:t>
      </w:r>
    </w:p>
    <w:p w14:paraId="216595BB">
      <w:pPr>
        <w:pStyle w:val="2"/>
        <w:keepNext/>
        <w:pBdr>
          <w:bottom w:val="single" w:color="1B2A6B" w:sz="6" w:space="4"/>
        </w:pBdr>
        <w:spacing w:before="360" w:after="200"/>
      </w:pPr>
      <w:r>
        <w:rPr>
          <w:rFonts w:ascii="Times New Roman" w:hAnsi="Times New Roman" w:eastAsia="微软雅黑"/>
          <w:b/>
          <w:i w:val="0"/>
          <w:color w:val="1B2A6B"/>
          <w:sz w:val="30"/>
        </w:rPr>
        <w:t>八、资金预算</w:t>
      </w:r>
    </w:p>
    <w:p w14:paraId="2020F654">
      <w:pPr>
        <w:spacing w:line="360" w:lineRule="auto"/>
        <w:ind w:firstLine="480"/>
      </w:pPr>
      <w:r>
        <w:rPr>
          <w:rFonts w:ascii="Times New Roman" w:hAnsi="Times New Roman"/>
          <w:sz w:val="24"/>
        </w:rPr>
        <w:t>经费审批说明：本活动经费需通过中国文化教学中心自我管理课程组所在部门的经费审批流程。所有费用以部门最终审批结果为准，审批通过后方可进行采购或支付，并按要求保留预算、发票、支付凭证等材料。</w:t>
      </w:r>
    </w:p>
    <w:tbl>
      <w:tblPr>
        <w:tblStyle w:val="11"/>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4968"/>
        <w:gridCol w:w="1800"/>
        <w:gridCol w:w="2592"/>
      </w:tblGrid>
      <w:tr w14:paraId="3DE7DD4C">
        <w:trPr>
          <w:cantSplit/>
          <w:tblHeader/>
          <w:jc w:val="center"/>
        </w:trPr>
        <w:tc>
          <w:tcPr>
            <w:tcW w:w="4968" w:type="dxa"/>
            <w:shd w:val="clear" w:color="auto" w:fill="EAEEF7"/>
            <w:tcMar>
              <w:top w:w="100" w:type="dxa"/>
              <w:left w:w="120" w:type="dxa"/>
              <w:bottom w:w="100" w:type="dxa"/>
              <w:right w:w="120" w:type="dxa"/>
            </w:tcMar>
            <w:vAlign w:val="center"/>
          </w:tcPr>
          <w:p w14:paraId="418286CE">
            <w:pPr>
              <w:spacing w:after="0" w:line="240" w:lineRule="auto"/>
              <w:jc w:val="center"/>
            </w:pPr>
            <w:r>
              <w:rPr>
                <w:rFonts w:ascii="Times New Roman" w:hAnsi="Times New Roman" w:eastAsia="宋体" w:cs="Times New Roman"/>
                <w:b w:val="0"/>
                <w:i w:val="0"/>
                <w:color w:val="000000"/>
                <w:sz w:val="18"/>
                <w:szCs w:val="22"/>
              </w:rPr>
              <w:t>项目</w:t>
            </w:r>
          </w:p>
        </w:tc>
        <w:tc>
          <w:tcPr>
            <w:tcW w:w="1800" w:type="dxa"/>
            <w:shd w:val="clear" w:color="auto" w:fill="EAEEF7"/>
            <w:tcMar>
              <w:top w:w="100" w:type="dxa"/>
              <w:left w:w="120" w:type="dxa"/>
              <w:bottom w:w="100" w:type="dxa"/>
              <w:right w:w="120" w:type="dxa"/>
            </w:tcMar>
            <w:vAlign w:val="center"/>
          </w:tcPr>
          <w:p w14:paraId="4B4788CD">
            <w:pPr>
              <w:spacing w:after="0" w:line="240" w:lineRule="auto"/>
              <w:jc w:val="center"/>
            </w:pPr>
            <w:r>
              <w:rPr>
                <w:rFonts w:ascii="Times New Roman" w:hAnsi="Times New Roman" w:eastAsia="宋体" w:cs="Times New Roman"/>
                <w:b w:val="0"/>
                <w:i w:val="0"/>
                <w:color w:val="000000"/>
                <w:sz w:val="18"/>
                <w:szCs w:val="22"/>
              </w:rPr>
              <w:t>金额（元）</w:t>
            </w:r>
          </w:p>
        </w:tc>
        <w:tc>
          <w:tcPr>
            <w:tcW w:w="2592" w:type="dxa"/>
            <w:shd w:val="clear" w:color="auto" w:fill="EAEEF7"/>
            <w:tcMar>
              <w:top w:w="100" w:type="dxa"/>
              <w:left w:w="120" w:type="dxa"/>
              <w:bottom w:w="100" w:type="dxa"/>
              <w:right w:w="120" w:type="dxa"/>
            </w:tcMar>
            <w:vAlign w:val="center"/>
          </w:tcPr>
          <w:p w14:paraId="4BC385F0">
            <w:pPr>
              <w:spacing w:after="0" w:line="240" w:lineRule="auto"/>
              <w:jc w:val="center"/>
            </w:pPr>
            <w:r>
              <w:rPr>
                <w:rFonts w:ascii="Times New Roman" w:hAnsi="Times New Roman" w:eastAsia="宋体" w:cs="Times New Roman"/>
                <w:b w:val="0"/>
                <w:i w:val="0"/>
                <w:color w:val="000000"/>
                <w:sz w:val="19"/>
                <w:szCs w:val="22"/>
              </w:rPr>
              <w:t>备注</w:t>
            </w:r>
          </w:p>
        </w:tc>
      </w:tr>
      <w:tr w14:paraId="582364D3">
        <w:trPr>
          <w:cantSplit/>
          <w:jc w:val="center"/>
        </w:trPr>
        <w:tc>
          <w:tcPr>
            <w:tcW w:w="4968" w:type="dxa"/>
            <w:tcMar>
              <w:top w:w="100" w:type="dxa"/>
              <w:left w:w="120" w:type="dxa"/>
              <w:bottom w:w="100" w:type="dxa"/>
              <w:right w:w="120" w:type="dxa"/>
            </w:tcMar>
            <w:vAlign w:val="center"/>
          </w:tcPr>
          <w:p w14:paraId="3C8E71E1">
            <w:pPr>
              <w:spacing w:after="0" w:line="240" w:lineRule="auto"/>
            </w:pPr>
            <w:r>
              <w:rPr>
                <w:rFonts w:ascii="Times New Roman" w:hAnsi="Times New Roman" w:eastAsia="宋体"/>
                <w:b w:val="0"/>
                <w:i w:val="0"/>
                <w:color w:val="000000"/>
                <w:sz w:val="18"/>
              </w:rPr>
              <w:t>安全/消耗物资、基础补给及机动费用</w:t>
            </w:r>
          </w:p>
        </w:tc>
        <w:tc>
          <w:tcPr>
            <w:tcW w:w="1800" w:type="dxa"/>
            <w:tcMar>
              <w:top w:w="100" w:type="dxa"/>
              <w:left w:w="120" w:type="dxa"/>
              <w:bottom w:w="100" w:type="dxa"/>
              <w:right w:w="120" w:type="dxa"/>
            </w:tcMar>
            <w:vAlign w:val="center"/>
          </w:tcPr>
          <w:p w14:paraId="45ADFA72">
            <w:pPr>
              <w:spacing w:after="0" w:line="240" w:lineRule="auto"/>
            </w:pPr>
            <w:r>
              <w:rPr>
                <w:rFonts w:ascii="Times New Roman" w:hAnsi="Times New Roman" w:eastAsia="宋体"/>
                <w:b w:val="0"/>
                <w:i w:val="0"/>
                <w:color w:val="000000"/>
                <w:sz w:val="18"/>
              </w:rPr>
              <w:t>100-200</w:t>
            </w:r>
          </w:p>
        </w:tc>
        <w:tc>
          <w:tcPr>
            <w:tcW w:w="2592" w:type="dxa"/>
            <w:tcMar>
              <w:top w:w="100" w:type="dxa"/>
              <w:left w:w="120" w:type="dxa"/>
              <w:bottom w:w="100" w:type="dxa"/>
              <w:right w:w="120" w:type="dxa"/>
            </w:tcMar>
            <w:vAlign w:val="center"/>
          </w:tcPr>
          <w:p w14:paraId="1C7139DF">
            <w:pPr>
              <w:spacing w:after="0" w:line="240" w:lineRule="auto"/>
            </w:pPr>
            <w:r>
              <w:rPr>
                <w:rFonts w:ascii="Times New Roman" w:hAnsi="Times New Roman" w:eastAsia="宋体"/>
                <w:sz w:val="19"/>
              </w:rPr>
              <w:t>冷敷/消毒用品、饮水及审批范围内必要支出。</w:t>
            </w:r>
          </w:p>
        </w:tc>
      </w:tr>
      <w:tr w14:paraId="5E98C5C9">
        <w:trPr>
          <w:cantSplit/>
          <w:jc w:val="center"/>
        </w:trPr>
        <w:tc>
          <w:tcPr>
            <w:tcW w:w="4968" w:type="dxa"/>
            <w:tcMar>
              <w:top w:w="100" w:type="dxa"/>
              <w:left w:w="120" w:type="dxa"/>
              <w:bottom w:w="100" w:type="dxa"/>
              <w:right w:w="120" w:type="dxa"/>
            </w:tcMar>
            <w:vAlign w:val="center"/>
          </w:tcPr>
          <w:p w14:paraId="74FD8FFB">
            <w:pPr>
              <w:spacing w:after="0" w:line="240" w:lineRule="auto"/>
            </w:pPr>
            <w:r>
              <w:rPr>
                <w:rFonts w:ascii="Times New Roman" w:hAnsi="Times New Roman" w:eastAsia="宋体"/>
                <w:b w:val="0"/>
                <w:i w:val="0"/>
                <w:color w:val="000000"/>
                <w:sz w:val="18"/>
              </w:rPr>
              <w:t>宣传/打印</w:t>
            </w:r>
          </w:p>
        </w:tc>
        <w:tc>
          <w:tcPr>
            <w:tcW w:w="1800" w:type="dxa"/>
            <w:tcMar>
              <w:top w:w="100" w:type="dxa"/>
              <w:left w:w="120" w:type="dxa"/>
              <w:bottom w:w="100" w:type="dxa"/>
              <w:right w:w="120" w:type="dxa"/>
            </w:tcMar>
            <w:vAlign w:val="center"/>
          </w:tcPr>
          <w:p w14:paraId="1952244C">
            <w:pPr>
              <w:spacing w:after="0" w:line="240" w:lineRule="auto"/>
            </w:pPr>
            <w:r>
              <w:rPr>
                <w:rFonts w:ascii="Times New Roman" w:hAnsi="Times New Roman" w:eastAsia="宋体"/>
                <w:b w:val="0"/>
                <w:i w:val="0"/>
                <w:color w:val="000000"/>
                <w:sz w:val="18"/>
              </w:rPr>
              <w:t>0-50</w:t>
            </w:r>
          </w:p>
        </w:tc>
        <w:tc>
          <w:tcPr>
            <w:tcW w:w="2592" w:type="dxa"/>
            <w:tcMar>
              <w:top w:w="100" w:type="dxa"/>
              <w:left w:w="120" w:type="dxa"/>
              <w:bottom w:w="100" w:type="dxa"/>
              <w:right w:w="120" w:type="dxa"/>
            </w:tcMar>
            <w:vAlign w:val="center"/>
          </w:tcPr>
          <w:p w14:paraId="3946A619">
            <w:pPr>
              <w:spacing w:after="0" w:line="240" w:lineRule="auto"/>
            </w:pPr>
            <w:r>
              <w:rPr>
                <w:rFonts w:ascii="Times New Roman" w:hAnsi="Times New Roman" w:eastAsia="宋体"/>
                <w:sz w:val="19"/>
              </w:rPr>
              <w:t>优先线上宣传；线下海报按需申请。</w:t>
            </w:r>
          </w:p>
        </w:tc>
      </w:tr>
      <w:tr w14:paraId="41A53705">
        <w:trPr>
          <w:cantSplit/>
          <w:jc w:val="center"/>
        </w:trPr>
        <w:tc>
          <w:tcPr>
            <w:tcW w:w="4968" w:type="dxa"/>
            <w:tcMar>
              <w:top w:w="100" w:type="dxa"/>
              <w:left w:w="120" w:type="dxa"/>
              <w:bottom w:w="100" w:type="dxa"/>
              <w:right w:w="120" w:type="dxa"/>
            </w:tcMar>
            <w:vAlign w:val="center"/>
          </w:tcPr>
          <w:p w14:paraId="5FD69E44">
            <w:pPr>
              <w:spacing w:after="0" w:line="240" w:lineRule="auto"/>
            </w:pPr>
            <w:r>
              <w:rPr>
                <w:rFonts w:ascii="Times New Roman" w:hAnsi="Times New Roman" w:eastAsia="宋体"/>
                <w:b w:val="0"/>
                <w:i w:val="0"/>
                <w:color w:val="000000"/>
                <w:sz w:val="18"/>
              </w:rPr>
              <w:t>训练器材</w:t>
            </w:r>
          </w:p>
        </w:tc>
        <w:tc>
          <w:tcPr>
            <w:tcW w:w="1800" w:type="dxa"/>
            <w:tcMar>
              <w:top w:w="100" w:type="dxa"/>
              <w:left w:w="120" w:type="dxa"/>
              <w:bottom w:w="100" w:type="dxa"/>
              <w:right w:w="120" w:type="dxa"/>
            </w:tcMar>
            <w:vAlign w:val="center"/>
          </w:tcPr>
          <w:p w14:paraId="081F45A0">
            <w:pPr>
              <w:spacing w:after="0" w:line="240" w:lineRule="auto"/>
            </w:pPr>
            <w:r>
              <w:rPr>
                <w:rFonts w:ascii="Times New Roman" w:hAnsi="Times New Roman" w:eastAsia="宋体"/>
                <w:b w:val="0"/>
                <w:i w:val="0"/>
                <w:color w:val="000000"/>
                <w:sz w:val="18"/>
              </w:rPr>
              <w:t>0</w:t>
            </w:r>
          </w:p>
        </w:tc>
        <w:tc>
          <w:tcPr>
            <w:tcW w:w="2592" w:type="dxa"/>
            <w:tcMar>
              <w:top w:w="100" w:type="dxa"/>
              <w:left w:w="120" w:type="dxa"/>
              <w:bottom w:w="100" w:type="dxa"/>
              <w:right w:w="120" w:type="dxa"/>
            </w:tcMar>
            <w:vAlign w:val="center"/>
          </w:tcPr>
          <w:p w14:paraId="1CB0EE81">
            <w:pPr>
              <w:spacing w:after="0" w:line="240" w:lineRule="auto"/>
            </w:pPr>
            <w:r>
              <w:rPr>
                <w:rFonts w:ascii="Times New Roman" w:hAnsi="Times New Roman" w:eastAsia="宋体"/>
                <w:sz w:val="19"/>
              </w:rPr>
              <w:t>软垫由场地提供；拳套、拳靶/脚靶由综合格斗社提供。</w:t>
            </w:r>
          </w:p>
        </w:tc>
      </w:tr>
      <w:tr w14:paraId="454D8EA6">
        <w:trPr>
          <w:cantSplit/>
          <w:jc w:val="center"/>
        </w:trPr>
        <w:tc>
          <w:tcPr>
            <w:tcW w:w="4968" w:type="dxa"/>
            <w:shd w:val="clear" w:color="auto" w:fill="EAEEF7"/>
            <w:tcMar>
              <w:top w:w="100" w:type="dxa"/>
              <w:left w:w="120" w:type="dxa"/>
              <w:bottom w:w="100" w:type="dxa"/>
              <w:right w:w="120" w:type="dxa"/>
            </w:tcMar>
            <w:vAlign w:val="center"/>
          </w:tcPr>
          <w:p w14:paraId="013651A1">
            <w:pPr>
              <w:spacing w:after="0" w:line="240" w:lineRule="auto"/>
            </w:pPr>
            <w:r>
              <w:rPr>
                <w:rFonts w:ascii="Times New Roman" w:hAnsi="Times New Roman" w:eastAsia="宋体"/>
                <w:b w:val="0"/>
                <w:i w:val="0"/>
                <w:color w:val="000000"/>
                <w:sz w:val="18"/>
              </w:rPr>
              <w:t>合计</w:t>
            </w:r>
          </w:p>
        </w:tc>
        <w:tc>
          <w:tcPr>
            <w:tcW w:w="1800" w:type="dxa"/>
            <w:shd w:val="clear" w:color="auto" w:fill="EAEEF7"/>
            <w:tcMar>
              <w:top w:w="100" w:type="dxa"/>
              <w:left w:w="120" w:type="dxa"/>
              <w:bottom w:w="100" w:type="dxa"/>
              <w:right w:w="120" w:type="dxa"/>
            </w:tcMar>
            <w:vAlign w:val="center"/>
          </w:tcPr>
          <w:p w14:paraId="3C0D8BA7">
            <w:pPr>
              <w:spacing w:after="0" w:line="240" w:lineRule="auto"/>
              <w:rPr>
                <w:rFonts w:hint="default" w:eastAsia="宋体"/>
                <w:lang w:val="en-US" w:eastAsia="zh-CN"/>
              </w:rPr>
            </w:pPr>
            <w:r>
              <w:rPr>
                <w:rFonts w:ascii="Times New Roman" w:hAnsi="Times New Roman" w:eastAsia="宋体"/>
                <w:b w:val="0"/>
                <w:i w:val="0"/>
                <w:color w:val="000000"/>
                <w:sz w:val="18"/>
              </w:rPr>
              <w:t>约</w:t>
            </w:r>
            <w:r>
              <w:rPr>
                <w:rFonts w:hint="eastAsia"/>
                <w:b w:val="0"/>
                <w:i w:val="0"/>
                <w:color w:val="000000"/>
                <w:sz w:val="18"/>
                <w:lang w:val="en-US" w:eastAsia="zh-CN"/>
              </w:rPr>
              <w:t>150-250</w:t>
            </w:r>
          </w:p>
        </w:tc>
        <w:tc>
          <w:tcPr>
            <w:tcW w:w="2592" w:type="dxa"/>
            <w:shd w:val="clear" w:color="auto" w:fill="EAEEF7"/>
            <w:tcMar>
              <w:top w:w="100" w:type="dxa"/>
              <w:left w:w="120" w:type="dxa"/>
              <w:bottom w:w="100" w:type="dxa"/>
              <w:right w:w="120" w:type="dxa"/>
            </w:tcMar>
            <w:vAlign w:val="center"/>
          </w:tcPr>
          <w:p w14:paraId="335EDC00"/>
        </w:tc>
      </w:tr>
    </w:tbl>
    <w:p w14:paraId="6CA4BE47">
      <w:pPr>
        <w:pStyle w:val="2"/>
        <w:keepNext/>
        <w:pBdr>
          <w:bottom w:val="single" w:color="1B2A6B" w:sz="6" w:space="4"/>
        </w:pBdr>
        <w:spacing w:before="360" w:after="200"/>
      </w:pPr>
      <w:r>
        <w:rPr>
          <w:rFonts w:ascii="Times New Roman" w:hAnsi="Times New Roman" w:eastAsia="微软雅黑"/>
          <w:b/>
          <w:i w:val="0"/>
          <w:color w:val="1B2A6B"/>
          <w:sz w:val="30"/>
        </w:rPr>
        <w:t>九、应急预案</w:t>
      </w:r>
    </w:p>
    <w:p w14:paraId="293531A5">
      <w:pPr>
        <w:spacing w:after="140" w:line="324" w:lineRule="auto"/>
        <w:ind w:firstLine="475"/>
      </w:pPr>
      <w:r>
        <w:rPr>
          <w:rFonts w:ascii="Times New Roman" w:hAnsi="Times New Roman" w:eastAsia="宋体"/>
          <w:b/>
          <w:i w:val="0"/>
          <w:color w:val="000000"/>
          <w:sz w:val="24"/>
        </w:rPr>
        <w:t>1. 一般不适或轻微受伤：</w:t>
      </w:r>
      <w:r>
        <w:rPr>
          <w:rFonts w:ascii="Times New Roman" w:hAnsi="Times New Roman" w:eastAsia="宋体"/>
          <w:b w:val="0"/>
          <w:i w:val="0"/>
          <w:color w:val="000000"/>
          <w:sz w:val="24"/>
        </w:rPr>
        <w:t>立即停止该参与者练习，转移至安全区域进行基础处理与观察；必要时使用冷敷用品，并联系校内医疗资源。</w:t>
      </w:r>
    </w:p>
    <w:p w14:paraId="78AB516D">
      <w:pPr>
        <w:spacing w:after="140" w:line="324" w:lineRule="auto"/>
        <w:ind w:firstLine="475"/>
      </w:pPr>
      <w:r>
        <w:rPr>
          <w:rFonts w:ascii="Times New Roman" w:hAnsi="Times New Roman" w:eastAsia="宋体"/>
          <w:b/>
          <w:i w:val="0"/>
          <w:color w:val="000000"/>
          <w:sz w:val="24"/>
        </w:rPr>
        <w:t>2. 较严重受伤或突发身体不适：</w:t>
      </w:r>
      <w:r>
        <w:rPr>
          <w:rFonts w:ascii="Times New Roman" w:hAnsi="Times New Roman" w:eastAsia="宋体"/>
          <w:b w:val="0"/>
          <w:i w:val="0"/>
          <w:color w:val="000000"/>
          <w:sz w:val="24"/>
        </w:rPr>
        <w:t>立即停止相关区域训练、保持现场秩序，由指定负责人联系急救/校内安保并按学校流程上报；保留必要事件记录。</w:t>
      </w:r>
    </w:p>
    <w:p w14:paraId="5DA68B1D">
      <w:pPr>
        <w:spacing w:after="140" w:line="324" w:lineRule="auto"/>
        <w:ind w:firstLine="475"/>
      </w:pPr>
      <w:r>
        <w:rPr>
          <w:rFonts w:ascii="Times New Roman" w:hAnsi="Times New Roman" w:eastAsia="宋体"/>
          <w:b/>
          <w:i w:val="0"/>
          <w:color w:val="000000"/>
          <w:sz w:val="24"/>
        </w:rPr>
        <w:t>3. 场地、器材或训练秩序问题：</w:t>
      </w:r>
      <w:r>
        <w:rPr>
          <w:rFonts w:ascii="Times New Roman" w:hAnsi="Times New Roman" w:eastAsia="宋体"/>
          <w:b w:val="0"/>
          <w:i w:val="0"/>
          <w:color w:val="000000"/>
          <w:sz w:val="24"/>
        </w:rPr>
        <w:t>如发现软垫移位、地面湿滑、器材损坏或参与者擅自加力，立即暂停相关练习；问题无法及时排除时取消该环节。报名人数超过安全容量时停止新增入场。</w:t>
      </w:r>
    </w:p>
    <w:p w14:paraId="6AF9631D">
      <w:pPr>
        <w:spacing w:after="140" w:line="324" w:lineRule="auto"/>
        <w:ind w:firstLine="475"/>
      </w:pPr>
      <w:r>
        <w:rPr>
          <w:rFonts w:ascii="Times New Roman" w:hAnsi="Times New Roman" w:eastAsia="宋体"/>
          <w:b/>
          <w:i w:val="0"/>
          <w:color w:val="000000"/>
          <w:sz w:val="24"/>
        </w:rPr>
        <w:t>4. 教学与人员突发情况：</w:t>
      </w:r>
      <w:r>
        <w:rPr>
          <w:rFonts w:ascii="Times New Roman" w:hAnsi="Times New Roman" w:eastAsia="宋体"/>
          <w:b w:val="0"/>
          <w:i w:val="0"/>
          <w:color w:val="000000"/>
          <w:sz w:val="24"/>
        </w:rPr>
        <w:t>教练临时无法到场时不自行替换高风险实操内容，由活动负责人和综合格斗社共同决定延期、调整为安全教育/演示或取消；现场出现情绪不适或冲突时优先停止练习、隔离风险并沟通处理。</w:t>
      </w:r>
    </w:p>
    <w:p w14:paraId="76FBCF67">
      <w:pPr>
        <w:pStyle w:val="2"/>
        <w:keepNext/>
        <w:pBdr>
          <w:bottom w:val="single" w:color="1B2A6B" w:sz="6" w:space="4"/>
        </w:pBdr>
        <w:spacing w:before="360" w:after="200"/>
      </w:pPr>
      <w:r>
        <w:rPr>
          <w:rFonts w:ascii="Times New Roman" w:hAnsi="Times New Roman" w:eastAsia="微软雅黑"/>
          <w:b/>
          <w:i w:val="0"/>
          <w:color w:val="1B2A6B"/>
          <w:sz w:val="30"/>
        </w:rPr>
        <w:t>十、附件</w:t>
      </w:r>
    </w:p>
    <w:p w14:paraId="0E4517A4">
      <w:pPr>
        <w:spacing w:after="140" w:line="324" w:lineRule="auto"/>
        <w:ind w:firstLine="475"/>
      </w:pPr>
      <w:r>
        <w:rPr>
          <w:rFonts w:ascii="Times New Roman" w:hAnsi="Times New Roman" w:eastAsia="宋体"/>
          <w:b w:val="0"/>
          <w:i w:val="0"/>
          <w:color w:val="000000"/>
          <w:sz w:val="24"/>
        </w:rPr>
        <w:t>1. 活动安全协议 / 参与者须知</w:t>
      </w:r>
    </w:p>
    <w:p w14:paraId="5C4ACB5A">
      <w:pPr>
        <w:spacing w:after="140" w:line="324" w:lineRule="auto"/>
        <w:ind w:firstLine="475"/>
      </w:pPr>
      <w:r>
        <w:rPr>
          <w:rFonts w:ascii="Times New Roman" w:hAnsi="Times New Roman" w:eastAsia="宋体"/>
          <w:b w:val="0"/>
          <w:i w:val="0"/>
          <w:color w:val="000000"/>
          <w:sz w:val="24"/>
        </w:rPr>
        <w:t>2. 财务预算与报销材料</w:t>
      </w:r>
    </w:p>
    <w:p w14:paraId="3B443BDF">
      <w:pPr>
        <w:spacing w:after="140" w:line="324" w:lineRule="auto"/>
        <w:ind w:firstLine="475"/>
      </w:pPr>
      <w:r>
        <w:rPr>
          <w:rFonts w:ascii="Times New Roman" w:hAnsi="Times New Roman" w:eastAsia="宋体"/>
          <w:b w:val="0"/>
          <w:i w:val="0"/>
          <w:color w:val="000000"/>
          <w:sz w:val="24"/>
        </w:rPr>
        <w:t>3. 体育馆3</w:t>
      </w:r>
      <w:r>
        <w:rPr>
          <w:rFonts w:hint="eastAsia"/>
          <w:b w:val="0"/>
          <w:i w:val="0"/>
          <w:color w:val="000000"/>
          <w:sz w:val="24"/>
          <w:lang w:val="en-US" w:eastAsia="zh-CN"/>
        </w:rPr>
        <w:t>02</w:t>
      </w:r>
      <w:r>
        <w:rPr>
          <w:rFonts w:ascii="Times New Roman" w:hAnsi="Times New Roman" w:eastAsia="宋体"/>
          <w:b w:val="0"/>
          <w:i w:val="0"/>
          <w:color w:val="000000"/>
          <w:sz w:val="24"/>
        </w:rPr>
        <w:t>搏击室场地信息 / 场地照片</w:t>
      </w:r>
    </w:p>
    <w:p w14:paraId="4ACF0E99">
      <w:pPr>
        <w:spacing w:after="140" w:line="324" w:lineRule="auto"/>
        <w:ind w:firstLine="475"/>
      </w:pPr>
      <w:r>
        <w:rPr>
          <w:rFonts w:ascii="Times New Roman" w:hAnsi="Times New Roman" w:eastAsia="宋体"/>
          <w:b w:val="0"/>
          <w:i w:val="0"/>
          <w:color w:val="000000"/>
          <w:sz w:val="24"/>
        </w:rPr>
        <w:t>4. 风险评估表</w:t>
      </w:r>
    </w:p>
    <w:p w14:paraId="05CBA65E">
      <w:pPr>
        <w:spacing w:after="140" w:line="324" w:lineRule="auto"/>
        <w:ind w:firstLine="475"/>
      </w:pPr>
      <w:r>
        <w:rPr>
          <w:rFonts w:ascii="Times New Roman" w:hAnsi="Times New Roman" w:eastAsia="宋体"/>
          <w:b w:val="0"/>
          <w:i w:val="0"/>
          <w:color w:val="000000"/>
          <w:sz w:val="24"/>
        </w:rPr>
        <w:t>5. 教学流程表及教练/综合格斗社教学人员信息</w:t>
      </w:r>
    </w:p>
    <w:tbl>
      <w:tblPr>
        <w:tblStyle w:val="11"/>
        <w:tblW w:w="7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00"/>
        <w:gridCol w:w="2000"/>
        <w:gridCol w:w="1600"/>
        <w:gridCol w:w="1000"/>
        <w:gridCol w:w="1000"/>
      </w:tblGrid>
      <w:tr w14:paraId="7C24C1F2">
        <w:trPr>
          <w:cantSplit/>
          <w:tblHeader/>
        </w:trPr>
        <w:tc>
          <w:tcPr>
            <w:tcW w:w="1944" w:type="dxa"/>
            <w:shd w:val="clear" w:color="auto" w:fill="EAEEF7"/>
            <w:tcMar>
              <w:top w:w="100" w:type="dxa"/>
              <w:left w:w="120" w:type="dxa"/>
              <w:bottom w:w="100" w:type="dxa"/>
              <w:right w:w="120" w:type="dxa"/>
            </w:tcMar>
            <w:vAlign w:val="center"/>
          </w:tcPr>
          <w:p w14:paraId="32E1949B">
            <w:pPr>
              <w:spacing w:after="0" w:line="240" w:lineRule="auto"/>
              <w:jc w:val="center"/>
            </w:pPr>
            <w:r>
              <w:rPr>
                <w:rFonts w:ascii="Times New Roman" w:hAnsi="Times New Roman" w:eastAsia="宋体" w:cs="Times New Roman"/>
                <w:b w:val="0"/>
                <w:i w:val="0"/>
                <w:color w:val="000000"/>
                <w:sz w:val="17"/>
                <w:szCs w:val="22"/>
              </w:rPr>
              <w:t>社团名称</w:t>
            </w:r>
          </w:p>
        </w:tc>
        <w:tc>
          <w:tcPr>
            <w:tcW w:w="2520" w:type="dxa"/>
            <w:shd w:val="clear" w:color="auto" w:fill="EAEEF7"/>
            <w:tcMar>
              <w:top w:w="100" w:type="dxa"/>
              <w:left w:w="120" w:type="dxa"/>
              <w:bottom w:w="100" w:type="dxa"/>
              <w:right w:w="120" w:type="dxa"/>
            </w:tcMar>
            <w:vAlign w:val="center"/>
          </w:tcPr>
          <w:p w14:paraId="140FEBEF">
            <w:pPr>
              <w:spacing w:after="0" w:line="240" w:lineRule="auto"/>
              <w:jc w:val="center"/>
            </w:pPr>
            <w:r>
              <w:rPr>
                <w:rFonts w:ascii="Times New Roman" w:hAnsi="Times New Roman" w:eastAsia="宋体" w:cs="Times New Roman"/>
                <w:b w:val="0"/>
                <w:i w:val="0"/>
                <w:color w:val="000000"/>
                <w:sz w:val="17"/>
                <w:szCs w:val="22"/>
              </w:rPr>
              <w:t>节目名称</w:t>
            </w:r>
          </w:p>
        </w:tc>
        <w:tc>
          <w:tcPr>
            <w:tcW w:w="1728" w:type="dxa"/>
            <w:shd w:val="clear" w:color="auto" w:fill="EAEEF7"/>
            <w:tcMar>
              <w:top w:w="100" w:type="dxa"/>
              <w:left w:w="120" w:type="dxa"/>
              <w:bottom w:w="100" w:type="dxa"/>
              <w:right w:w="120" w:type="dxa"/>
            </w:tcMar>
            <w:vAlign w:val="center"/>
          </w:tcPr>
          <w:p w14:paraId="0100CD81">
            <w:pPr>
              <w:spacing w:after="0" w:line="240" w:lineRule="auto"/>
              <w:jc w:val="center"/>
            </w:pPr>
            <w:r>
              <w:rPr>
                <w:rFonts w:ascii="Times New Roman" w:hAnsi="Times New Roman" w:eastAsia="宋体" w:cs="Times New Roman"/>
                <w:b w:val="0"/>
                <w:i w:val="0"/>
                <w:color w:val="000000"/>
                <w:sz w:val="17"/>
                <w:szCs w:val="22"/>
              </w:rPr>
              <w:t>节目类型</w:t>
            </w:r>
          </w:p>
        </w:tc>
        <w:tc>
          <w:tcPr>
            <w:tcW w:w="1080" w:type="dxa"/>
            <w:shd w:val="clear" w:color="auto" w:fill="EAEEF7"/>
            <w:tcMar>
              <w:top w:w="100" w:type="dxa"/>
              <w:left w:w="120" w:type="dxa"/>
              <w:bottom w:w="100" w:type="dxa"/>
              <w:right w:w="120" w:type="dxa"/>
            </w:tcMar>
            <w:vAlign w:val="center"/>
          </w:tcPr>
          <w:p w14:paraId="1ED81215">
            <w:pPr>
              <w:spacing w:after="0" w:line="240" w:lineRule="auto"/>
              <w:jc w:val="center"/>
            </w:pPr>
            <w:r>
              <w:rPr>
                <w:rFonts w:ascii="Times New Roman" w:hAnsi="Times New Roman" w:eastAsia="宋体" w:cs="Times New Roman"/>
                <w:b w:val="0"/>
                <w:i w:val="0"/>
                <w:color w:val="000000"/>
                <w:sz w:val="17"/>
                <w:szCs w:val="22"/>
              </w:rPr>
              <w:t>人数</w:t>
            </w:r>
          </w:p>
        </w:tc>
        <w:tc>
          <w:tcPr>
            <w:tcW w:w="1584" w:type="dxa"/>
            <w:shd w:val="clear" w:color="auto" w:fill="EAEEF7"/>
            <w:tcMar>
              <w:top w:w="100" w:type="dxa"/>
              <w:left w:w="120" w:type="dxa"/>
              <w:bottom w:w="100" w:type="dxa"/>
              <w:right w:w="120" w:type="dxa"/>
            </w:tcMar>
            <w:vAlign w:val="center"/>
          </w:tcPr>
          <w:p w14:paraId="038E2A6C">
            <w:pPr>
              <w:spacing w:after="0" w:line="240" w:lineRule="auto"/>
              <w:jc w:val="center"/>
            </w:pPr>
            <w:r>
              <w:rPr>
                <w:rFonts w:ascii="Times New Roman" w:hAnsi="Times New Roman" w:eastAsia="宋体" w:cs="Times New Roman"/>
                <w:b w:val="0"/>
                <w:i w:val="0"/>
                <w:color w:val="000000"/>
                <w:sz w:val="17"/>
                <w:szCs w:val="22"/>
              </w:rPr>
              <w:t>时长</w:t>
            </w:r>
          </w:p>
        </w:tc>
      </w:tr>
      <w:tr w14:paraId="583213F1">
        <w:trPr>
          <w:cantSplit/>
        </w:trPr>
        <w:tc>
          <w:tcPr>
            <w:tcW w:w="1944" w:type="dxa"/>
            <w:tcMar>
              <w:top w:w="100" w:type="dxa"/>
              <w:left w:w="120" w:type="dxa"/>
              <w:bottom w:w="100" w:type="dxa"/>
              <w:right w:w="120" w:type="dxa"/>
            </w:tcMar>
            <w:vAlign w:val="center"/>
          </w:tcPr>
          <w:p w14:paraId="067CF1A0">
            <w:pPr>
              <w:spacing w:after="0" w:line="240" w:lineRule="auto"/>
            </w:pPr>
            <w:r>
              <w:rPr>
                <w:rFonts w:ascii="Times New Roman" w:hAnsi="Times New Roman" w:eastAsia="宋体"/>
                <w:b w:val="0"/>
                <w:i w:val="0"/>
                <w:color w:val="000000"/>
                <w:sz w:val="17"/>
              </w:rPr>
              <w:t>综合格斗社</w:t>
            </w:r>
          </w:p>
        </w:tc>
        <w:tc>
          <w:tcPr>
            <w:tcW w:w="2520" w:type="dxa"/>
            <w:tcMar>
              <w:top w:w="100" w:type="dxa"/>
              <w:left w:w="120" w:type="dxa"/>
              <w:bottom w:w="100" w:type="dxa"/>
              <w:right w:w="120" w:type="dxa"/>
            </w:tcMar>
            <w:vAlign w:val="center"/>
          </w:tcPr>
          <w:p w14:paraId="6E73E8E3">
            <w:pPr>
              <w:spacing w:after="0" w:line="240" w:lineRule="auto"/>
            </w:pPr>
            <w:r>
              <w:rPr>
                <w:rFonts w:ascii="Times New Roman" w:hAnsi="Times New Roman" w:eastAsia="宋体"/>
                <w:b w:val="0"/>
                <w:i w:val="0"/>
                <w:color w:val="000000"/>
                <w:sz w:val="17"/>
              </w:rPr>
              <w:t>避险优先与安全规则</w:t>
            </w:r>
          </w:p>
        </w:tc>
        <w:tc>
          <w:tcPr>
            <w:tcW w:w="1728" w:type="dxa"/>
            <w:tcMar>
              <w:top w:w="100" w:type="dxa"/>
              <w:left w:w="120" w:type="dxa"/>
              <w:bottom w:w="100" w:type="dxa"/>
              <w:right w:w="120" w:type="dxa"/>
            </w:tcMar>
            <w:vAlign w:val="center"/>
          </w:tcPr>
          <w:p w14:paraId="583FDEFB">
            <w:pPr>
              <w:spacing w:after="0" w:line="240" w:lineRule="auto"/>
            </w:pPr>
            <w:r>
              <w:rPr>
                <w:rFonts w:ascii="Times New Roman" w:hAnsi="Times New Roman" w:eastAsia="宋体"/>
                <w:b w:val="0"/>
                <w:i w:val="0"/>
                <w:color w:val="000000"/>
                <w:sz w:val="17"/>
              </w:rPr>
              <w:t>讲解</w:t>
            </w:r>
          </w:p>
        </w:tc>
        <w:tc>
          <w:tcPr>
            <w:tcW w:w="1080" w:type="dxa"/>
            <w:tcMar>
              <w:top w:w="100" w:type="dxa"/>
              <w:left w:w="120" w:type="dxa"/>
              <w:bottom w:w="100" w:type="dxa"/>
              <w:right w:w="120" w:type="dxa"/>
            </w:tcMar>
            <w:vAlign w:val="center"/>
          </w:tcPr>
          <w:p w14:paraId="6A0F8701">
            <w:pPr>
              <w:spacing w:after="0" w:line="240" w:lineRule="auto"/>
            </w:pPr>
            <w:r>
              <w:rPr>
                <w:rFonts w:ascii="Times New Roman" w:hAnsi="Times New Roman" w:eastAsia="宋体"/>
                <w:b w:val="0"/>
                <w:i w:val="0"/>
                <w:color w:val="000000"/>
                <w:sz w:val="17"/>
              </w:rPr>
              <w:t>约30</w:t>
            </w:r>
          </w:p>
        </w:tc>
        <w:tc>
          <w:tcPr>
            <w:tcW w:w="1584" w:type="dxa"/>
            <w:tcMar>
              <w:top w:w="100" w:type="dxa"/>
              <w:left w:w="120" w:type="dxa"/>
              <w:bottom w:w="100" w:type="dxa"/>
              <w:right w:w="120" w:type="dxa"/>
            </w:tcMar>
            <w:vAlign w:val="center"/>
          </w:tcPr>
          <w:p w14:paraId="42AE078A">
            <w:pPr>
              <w:spacing w:after="0" w:line="240" w:lineRule="auto"/>
            </w:pPr>
            <w:r>
              <w:rPr>
                <w:rFonts w:ascii="Times New Roman" w:hAnsi="Times New Roman" w:eastAsia="宋体"/>
                <w:b w:val="0"/>
                <w:i w:val="0"/>
                <w:color w:val="000000"/>
                <w:sz w:val="17"/>
              </w:rPr>
              <w:t>10分钟</w:t>
            </w:r>
          </w:p>
        </w:tc>
      </w:tr>
      <w:tr w14:paraId="50C33CFA">
        <w:trPr>
          <w:cantSplit/>
        </w:trPr>
        <w:tc>
          <w:tcPr>
            <w:tcW w:w="1944" w:type="dxa"/>
            <w:tcMar>
              <w:top w:w="100" w:type="dxa"/>
              <w:left w:w="120" w:type="dxa"/>
              <w:bottom w:w="100" w:type="dxa"/>
              <w:right w:w="120" w:type="dxa"/>
            </w:tcMar>
            <w:vAlign w:val="center"/>
          </w:tcPr>
          <w:p w14:paraId="63507DB2">
            <w:pPr>
              <w:spacing w:after="0" w:line="240" w:lineRule="auto"/>
            </w:pPr>
            <w:r>
              <w:rPr>
                <w:rFonts w:ascii="Times New Roman" w:hAnsi="Times New Roman" w:eastAsia="宋体"/>
                <w:b w:val="0"/>
                <w:i w:val="0"/>
                <w:color w:val="000000"/>
                <w:sz w:val="17"/>
              </w:rPr>
              <w:t>综合格斗社</w:t>
            </w:r>
          </w:p>
        </w:tc>
        <w:tc>
          <w:tcPr>
            <w:tcW w:w="2520" w:type="dxa"/>
            <w:tcMar>
              <w:top w:w="100" w:type="dxa"/>
              <w:left w:w="120" w:type="dxa"/>
              <w:bottom w:w="100" w:type="dxa"/>
              <w:right w:w="120" w:type="dxa"/>
            </w:tcMar>
            <w:vAlign w:val="center"/>
          </w:tcPr>
          <w:p w14:paraId="28F1DC29">
            <w:pPr>
              <w:spacing w:after="0" w:line="240" w:lineRule="auto"/>
            </w:pPr>
            <w:r>
              <w:rPr>
                <w:rFonts w:ascii="Times New Roman" w:hAnsi="Times New Roman" w:eastAsia="宋体"/>
                <w:b w:val="0"/>
                <w:i w:val="0"/>
                <w:color w:val="000000"/>
                <w:sz w:val="17"/>
              </w:rPr>
              <w:t>风险识别与人体易受伤区域</w:t>
            </w:r>
          </w:p>
        </w:tc>
        <w:tc>
          <w:tcPr>
            <w:tcW w:w="1728" w:type="dxa"/>
            <w:tcMar>
              <w:top w:w="100" w:type="dxa"/>
              <w:left w:w="120" w:type="dxa"/>
              <w:bottom w:w="100" w:type="dxa"/>
              <w:right w:w="120" w:type="dxa"/>
            </w:tcMar>
            <w:vAlign w:val="center"/>
          </w:tcPr>
          <w:p w14:paraId="577BFDCF">
            <w:pPr>
              <w:spacing w:after="0" w:line="240" w:lineRule="auto"/>
            </w:pPr>
            <w:r>
              <w:rPr>
                <w:rFonts w:ascii="Times New Roman" w:hAnsi="Times New Roman" w:eastAsia="宋体"/>
                <w:b w:val="0"/>
                <w:i w:val="0"/>
                <w:color w:val="000000"/>
                <w:sz w:val="17"/>
              </w:rPr>
              <w:t>讲解/演示</w:t>
            </w:r>
          </w:p>
        </w:tc>
        <w:tc>
          <w:tcPr>
            <w:tcW w:w="1080" w:type="dxa"/>
            <w:tcMar>
              <w:top w:w="100" w:type="dxa"/>
              <w:left w:w="120" w:type="dxa"/>
              <w:bottom w:w="100" w:type="dxa"/>
              <w:right w:w="120" w:type="dxa"/>
            </w:tcMar>
            <w:vAlign w:val="center"/>
          </w:tcPr>
          <w:p w14:paraId="7F834331">
            <w:pPr>
              <w:spacing w:after="0" w:line="240" w:lineRule="auto"/>
            </w:pPr>
            <w:r>
              <w:rPr>
                <w:rFonts w:ascii="Times New Roman" w:hAnsi="Times New Roman" w:eastAsia="宋体"/>
                <w:b w:val="0"/>
                <w:i w:val="0"/>
                <w:color w:val="000000"/>
                <w:sz w:val="17"/>
              </w:rPr>
              <w:t>约30</w:t>
            </w:r>
          </w:p>
        </w:tc>
        <w:tc>
          <w:tcPr>
            <w:tcW w:w="1584" w:type="dxa"/>
            <w:tcMar>
              <w:top w:w="100" w:type="dxa"/>
              <w:left w:w="120" w:type="dxa"/>
              <w:bottom w:w="100" w:type="dxa"/>
              <w:right w:w="120" w:type="dxa"/>
            </w:tcMar>
            <w:vAlign w:val="center"/>
          </w:tcPr>
          <w:p w14:paraId="5236367F">
            <w:pPr>
              <w:spacing w:after="0" w:line="240" w:lineRule="auto"/>
            </w:pPr>
            <w:r>
              <w:rPr>
                <w:rFonts w:ascii="Times New Roman" w:hAnsi="Times New Roman" w:eastAsia="宋体"/>
                <w:b w:val="0"/>
                <w:i w:val="0"/>
                <w:color w:val="000000"/>
                <w:sz w:val="17"/>
              </w:rPr>
              <w:t>20分钟</w:t>
            </w:r>
          </w:p>
        </w:tc>
      </w:tr>
      <w:tr w14:paraId="537B552D">
        <w:trPr>
          <w:cantSplit/>
        </w:trPr>
        <w:tc>
          <w:tcPr>
            <w:tcW w:w="1944" w:type="dxa"/>
            <w:tcMar>
              <w:top w:w="100" w:type="dxa"/>
              <w:left w:w="120" w:type="dxa"/>
              <w:bottom w:w="100" w:type="dxa"/>
              <w:right w:w="120" w:type="dxa"/>
            </w:tcMar>
            <w:vAlign w:val="center"/>
          </w:tcPr>
          <w:p w14:paraId="25EEF152">
            <w:pPr>
              <w:spacing w:after="0" w:line="240" w:lineRule="auto"/>
            </w:pPr>
            <w:r>
              <w:rPr>
                <w:rFonts w:ascii="Times New Roman" w:hAnsi="Times New Roman" w:eastAsia="宋体"/>
                <w:b w:val="0"/>
                <w:i w:val="0"/>
                <w:color w:val="000000"/>
                <w:sz w:val="17"/>
              </w:rPr>
              <w:t>综合格斗社</w:t>
            </w:r>
          </w:p>
        </w:tc>
        <w:tc>
          <w:tcPr>
            <w:tcW w:w="2520" w:type="dxa"/>
            <w:tcMar>
              <w:top w:w="100" w:type="dxa"/>
              <w:left w:w="120" w:type="dxa"/>
              <w:bottom w:w="100" w:type="dxa"/>
              <w:right w:w="120" w:type="dxa"/>
            </w:tcMar>
            <w:vAlign w:val="center"/>
          </w:tcPr>
          <w:p w14:paraId="370DB59C">
            <w:pPr>
              <w:spacing w:after="0" w:line="240" w:lineRule="auto"/>
            </w:pPr>
            <w:r>
              <w:rPr>
                <w:rFonts w:ascii="Times New Roman" w:hAnsi="Times New Roman" w:eastAsia="宋体"/>
                <w:b w:val="0"/>
                <w:i w:val="0"/>
                <w:color w:val="000000"/>
                <w:sz w:val="17"/>
              </w:rPr>
              <w:t>手部防身动作靶练</w:t>
            </w:r>
          </w:p>
        </w:tc>
        <w:tc>
          <w:tcPr>
            <w:tcW w:w="1728" w:type="dxa"/>
            <w:tcMar>
              <w:top w:w="100" w:type="dxa"/>
              <w:left w:w="120" w:type="dxa"/>
              <w:bottom w:w="100" w:type="dxa"/>
              <w:right w:w="120" w:type="dxa"/>
            </w:tcMar>
            <w:vAlign w:val="center"/>
          </w:tcPr>
          <w:p w14:paraId="5C262EC5">
            <w:pPr>
              <w:spacing w:after="0" w:line="240" w:lineRule="auto"/>
            </w:pPr>
            <w:r>
              <w:rPr>
                <w:rFonts w:ascii="Times New Roman" w:hAnsi="Times New Roman" w:eastAsia="宋体"/>
                <w:b w:val="0"/>
                <w:i w:val="0"/>
                <w:color w:val="000000"/>
                <w:sz w:val="17"/>
              </w:rPr>
              <w:t>实操</w:t>
            </w:r>
          </w:p>
        </w:tc>
        <w:tc>
          <w:tcPr>
            <w:tcW w:w="1080" w:type="dxa"/>
            <w:tcMar>
              <w:top w:w="100" w:type="dxa"/>
              <w:left w:w="120" w:type="dxa"/>
              <w:bottom w:w="100" w:type="dxa"/>
              <w:right w:w="120" w:type="dxa"/>
            </w:tcMar>
            <w:vAlign w:val="center"/>
          </w:tcPr>
          <w:p w14:paraId="3FBC82A7">
            <w:pPr>
              <w:spacing w:after="0" w:line="240" w:lineRule="auto"/>
            </w:pPr>
            <w:r>
              <w:rPr>
                <w:rFonts w:ascii="Times New Roman" w:hAnsi="Times New Roman" w:eastAsia="宋体"/>
                <w:b w:val="0"/>
                <w:i w:val="0"/>
                <w:color w:val="000000"/>
                <w:sz w:val="17"/>
              </w:rPr>
              <w:t>约30</w:t>
            </w:r>
          </w:p>
        </w:tc>
        <w:tc>
          <w:tcPr>
            <w:tcW w:w="1584" w:type="dxa"/>
            <w:tcMar>
              <w:top w:w="100" w:type="dxa"/>
              <w:left w:w="120" w:type="dxa"/>
              <w:bottom w:w="100" w:type="dxa"/>
              <w:right w:w="120" w:type="dxa"/>
            </w:tcMar>
            <w:vAlign w:val="center"/>
          </w:tcPr>
          <w:p w14:paraId="43702F52">
            <w:pPr>
              <w:spacing w:after="0" w:line="240" w:lineRule="auto"/>
            </w:pPr>
            <w:r>
              <w:rPr>
                <w:rFonts w:ascii="Times New Roman" w:hAnsi="Times New Roman" w:eastAsia="宋体"/>
                <w:b w:val="0"/>
                <w:i w:val="0"/>
                <w:color w:val="000000"/>
                <w:sz w:val="17"/>
              </w:rPr>
              <w:t>15分钟</w:t>
            </w:r>
          </w:p>
        </w:tc>
      </w:tr>
      <w:tr w14:paraId="49AB9230">
        <w:trPr>
          <w:cantSplit/>
        </w:trPr>
        <w:tc>
          <w:tcPr>
            <w:tcW w:w="1944" w:type="dxa"/>
            <w:tcMar>
              <w:top w:w="100" w:type="dxa"/>
              <w:left w:w="120" w:type="dxa"/>
              <w:bottom w:w="100" w:type="dxa"/>
              <w:right w:w="120" w:type="dxa"/>
            </w:tcMar>
            <w:vAlign w:val="center"/>
          </w:tcPr>
          <w:p w14:paraId="3222D3C6">
            <w:pPr>
              <w:spacing w:after="0" w:line="240" w:lineRule="auto"/>
            </w:pPr>
            <w:r>
              <w:rPr>
                <w:rFonts w:ascii="Times New Roman" w:hAnsi="Times New Roman" w:eastAsia="宋体"/>
                <w:b w:val="0"/>
                <w:i w:val="0"/>
                <w:color w:val="000000"/>
                <w:sz w:val="17"/>
              </w:rPr>
              <w:t>综合格斗社</w:t>
            </w:r>
          </w:p>
        </w:tc>
        <w:tc>
          <w:tcPr>
            <w:tcW w:w="2520" w:type="dxa"/>
            <w:tcMar>
              <w:top w:w="100" w:type="dxa"/>
              <w:left w:w="120" w:type="dxa"/>
              <w:bottom w:w="100" w:type="dxa"/>
              <w:right w:w="120" w:type="dxa"/>
            </w:tcMar>
            <w:vAlign w:val="center"/>
          </w:tcPr>
          <w:p w14:paraId="6B4B3055">
            <w:pPr>
              <w:spacing w:after="0" w:line="240" w:lineRule="auto"/>
            </w:pPr>
            <w:r>
              <w:rPr>
                <w:rFonts w:ascii="Times New Roman" w:hAnsi="Times New Roman" w:eastAsia="宋体"/>
                <w:b w:val="0"/>
                <w:i w:val="0"/>
                <w:color w:val="000000"/>
                <w:sz w:val="17"/>
              </w:rPr>
              <w:t>抱头撞肘靶练</w:t>
            </w:r>
          </w:p>
        </w:tc>
        <w:tc>
          <w:tcPr>
            <w:tcW w:w="1728" w:type="dxa"/>
            <w:tcMar>
              <w:top w:w="100" w:type="dxa"/>
              <w:left w:w="120" w:type="dxa"/>
              <w:bottom w:w="100" w:type="dxa"/>
              <w:right w:w="120" w:type="dxa"/>
            </w:tcMar>
            <w:vAlign w:val="center"/>
          </w:tcPr>
          <w:p w14:paraId="288E75AE">
            <w:pPr>
              <w:spacing w:after="0" w:line="240" w:lineRule="auto"/>
            </w:pPr>
            <w:r>
              <w:rPr>
                <w:rFonts w:ascii="Times New Roman" w:hAnsi="Times New Roman" w:eastAsia="宋体"/>
                <w:b w:val="0"/>
                <w:i w:val="0"/>
                <w:color w:val="000000"/>
                <w:sz w:val="17"/>
              </w:rPr>
              <w:t>实操</w:t>
            </w:r>
          </w:p>
        </w:tc>
        <w:tc>
          <w:tcPr>
            <w:tcW w:w="1080" w:type="dxa"/>
            <w:tcMar>
              <w:top w:w="100" w:type="dxa"/>
              <w:left w:w="120" w:type="dxa"/>
              <w:bottom w:w="100" w:type="dxa"/>
              <w:right w:w="120" w:type="dxa"/>
            </w:tcMar>
            <w:vAlign w:val="center"/>
          </w:tcPr>
          <w:p w14:paraId="0D41E1F0">
            <w:pPr>
              <w:spacing w:after="0" w:line="240" w:lineRule="auto"/>
            </w:pPr>
            <w:r>
              <w:rPr>
                <w:rFonts w:ascii="Times New Roman" w:hAnsi="Times New Roman" w:eastAsia="宋体"/>
                <w:b w:val="0"/>
                <w:i w:val="0"/>
                <w:color w:val="000000"/>
                <w:sz w:val="17"/>
              </w:rPr>
              <w:t>约30</w:t>
            </w:r>
          </w:p>
        </w:tc>
        <w:tc>
          <w:tcPr>
            <w:tcW w:w="1584" w:type="dxa"/>
            <w:tcMar>
              <w:top w:w="100" w:type="dxa"/>
              <w:left w:w="120" w:type="dxa"/>
              <w:bottom w:w="100" w:type="dxa"/>
              <w:right w:w="120" w:type="dxa"/>
            </w:tcMar>
            <w:vAlign w:val="center"/>
          </w:tcPr>
          <w:p w14:paraId="61F0EEC3">
            <w:pPr>
              <w:spacing w:after="0" w:line="240" w:lineRule="auto"/>
            </w:pPr>
            <w:r>
              <w:rPr>
                <w:rFonts w:ascii="Times New Roman" w:hAnsi="Times New Roman" w:eastAsia="宋体"/>
                <w:b w:val="0"/>
                <w:i w:val="0"/>
                <w:color w:val="000000"/>
                <w:sz w:val="17"/>
              </w:rPr>
              <w:t>15分钟</w:t>
            </w:r>
          </w:p>
        </w:tc>
      </w:tr>
      <w:tr w14:paraId="69CB9A6C">
        <w:trPr>
          <w:cantSplit/>
        </w:trPr>
        <w:tc>
          <w:tcPr>
            <w:tcW w:w="1944" w:type="dxa"/>
            <w:tcMar>
              <w:top w:w="100" w:type="dxa"/>
              <w:left w:w="120" w:type="dxa"/>
              <w:bottom w:w="100" w:type="dxa"/>
              <w:right w:w="120" w:type="dxa"/>
            </w:tcMar>
            <w:vAlign w:val="center"/>
          </w:tcPr>
          <w:p w14:paraId="7A947D17">
            <w:pPr>
              <w:spacing w:after="0" w:line="240" w:lineRule="auto"/>
            </w:pPr>
            <w:r>
              <w:rPr>
                <w:rFonts w:ascii="Times New Roman" w:hAnsi="Times New Roman" w:eastAsia="宋体"/>
                <w:b w:val="0"/>
                <w:i w:val="0"/>
                <w:color w:val="000000"/>
                <w:sz w:val="17"/>
              </w:rPr>
              <w:t>综合格斗社</w:t>
            </w:r>
          </w:p>
        </w:tc>
        <w:tc>
          <w:tcPr>
            <w:tcW w:w="2520" w:type="dxa"/>
            <w:tcMar>
              <w:top w:w="100" w:type="dxa"/>
              <w:left w:w="120" w:type="dxa"/>
              <w:bottom w:w="100" w:type="dxa"/>
              <w:right w:w="120" w:type="dxa"/>
            </w:tcMar>
            <w:vAlign w:val="center"/>
          </w:tcPr>
          <w:p w14:paraId="7DFB55C5">
            <w:pPr>
              <w:spacing w:after="0" w:line="240" w:lineRule="auto"/>
            </w:pPr>
            <w:r>
              <w:rPr>
                <w:rFonts w:ascii="Times New Roman" w:hAnsi="Times New Roman" w:eastAsia="宋体"/>
                <w:b w:val="0"/>
                <w:i w:val="0"/>
                <w:color w:val="000000"/>
                <w:sz w:val="17"/>
              </w:rPr>
              <w:t>正蹬靶练</w:t>
            </w:r>
          </w:p>
        </w:tc>
        <w:tc>
          <w:tcPr>
            <w:tcW w:w="1728" w:type="dxa"/>
            <w:tcMar>
              <w:top w:w="100" w:type="dxa"/>
              <w:left w:w="120" w:type="dxa"/>
              <w:bottom w:w="100" w:type="dxa"/>
              <w:right w:w="120" w:type="dxa"/>
            </w:tcMar>
            <w:vAlign w:val="center"/>
          </w:tcPr>
          <w:p w14:paraId="56142BAB">
            <w:pPr>
              <w:spacing w:after="0" w:line="240" w:lineRule="auto"/>
            </w:pPr>
            <w:r>
              <w:rPr>
                <w:rFonts w:ascii="Times New Roman" w:hAnsi="Times New Roman" w:eastAsia="宋体"/>
                <w:b w:val="0"/>
                <w:i w:val="0"/>
                <w:color w:val="000000"/>
                <w:sz w:val="17"/>
              </w:rPr>
              <w:t>实操</w:t>
            </w:r>
          </w:p>
        </w:tc>
        <w:tc>
          <w:tcPr>
            <w:tcW w:w="1080" w:type="dxa"/>
            <w:tcMar>
              <w:top w:w="100" w:type="dxa"/>
              <w:left w:w="120" w:type="dxa"/>
              <w:bottom w:w="100" w:type="dxa"/>
              <w:right w:w="120" w:type="dxa"/>
            </w:tcMar>
            <w:vAlign w:val="center"/>
          </w:tcPr>
          <w:p w14:paraId="0A72600C">
            <w:pPr>
              <w:spacing w:after="0" w:line="240" w:lineRule="auto"/>
            </w:pPr>
            <w:r>
              <w:rPr>
                <w:rFonts w:ascii="Times New Roman" w:hAnsi="Times New Roman" w:eastAsia="宋体"/>
                <w:b w:val="0"/>
                <w:i w:val="0"/>
                <w:color w:val="000000"/>
                <w:sz w:val="17"/>
              </w:rPr>
              <w:t>约30</w:t>
            </w:r>
          </w:p>
        </w:tc>
        <w:tc>
          <w:tcPr>
            <w:tcW w:w="1584" w:type="dxa"/>
            <w:tcMar>
              <w:top w:w="100" w:type="dxa"/>
              <w:left w:w="120" w:type="dxa"/>
              <w:bottom w:w="100" w:type="dxa"/>
              <w:right w:w="120" w:type="dxa"/>
            </w:tcMar>
            <w:vAlign w:val="center"/>
          </w:tcPr>
          <w:p w14:paraId="3B63D5B7">
            <w:pPr>
              <w:spacing w:after="0" w:line="240" w:lineRule="auto"/>
            </w:pPr>
            <w:r>
              <w:rPr>
                <w:rFonts w:ascii="Times New Roman" w:hAnsi="Times New Roman" w:eastAsia="宋体"/>
                <w:b w:val="0"/>
                <w:i w:val="0"/>
                <w:color w:val="000000"/>
                <w:sz w:val="17"/>
              </w:rPr>
              <w:t>15分钟</w:t>
            </w:r>
          </w:p>
        </w:tc>
      </w:tr>
      <w:tr w14:paraId="4251C9E9">
        <w:trPr>
          <w:cantSplit/>
        </w:trPr>
        <w:tc>
          <w:tcPr>
            <w:tcW w:w="1944" w:type="dxa"/>
            <w:tcMar>
              <w:top w:w="100" w:type="dxa"/>
              <w:left w:w="120" w:type="dxa"/>
              <w:bottom w:w="100" w:type="dxa"/>
              <w:right w:w="120" w:type="dxa"/>
            </w:tcMar>
            <w:vAlign w:val="center"/>
          </w:tcPr>
          <w:p w14:paraId="4F702770">
            <w:pPr>
              <w:spacing w:after="0" w:line="240" w:lineRule="auto"/>
            </w:pPr>
            <w:r>
              <w:rPr>
                <w:rFonts w:ascii="Times New Roman" w:hAnsi="Times New Roman" w:eastAsia="宋体"/>
                <w:b w:val="0"/>
                <w:i w:val="0"/>
                <w:color w:val="000000"/>
                <w:sz w:val="17"/>
              </w:rPr>
              <w:t>综合格斗社</w:t>
            </w:r>
          </w:p>
        </w:tc>
        <w:tc>
          <w:tcPr>
            <w:tcW w:w="2520" w:type="dxa"/>
            <w:tcMar>
              <w:top w:w="100" w:type="dxa"/>
              <w:left w:w="120" w:type="dxa"/>
              <w:bottom w:w="100" w:type="dxa"/>
              <w:right w:w="120" w:type="dxa"/>
            </w:tcMar>
            <w:vAlign w:val="center"/>
          </w:tcPr>
          <w:p w14:paraId="2CAD24DA">
            <w:pPr>
              <w:spacing w:after="0" w:line="240" w:lineRule="auto"/>
            </w:pPr>
            <w:r>
              <w:rPr>
                <w:rFonts w:ascii="Times New Roman" w:hAnsi="Times New Roman" w:eastAsia="宋体"/>
                <w:b w:val="0"/>
                <w:i w:val="0"/>
                <w:color w:val="000000"/>
                <w:sz w:val="17"/>
              </w:rPr>
              <w:t>综合靶练；弹踢按教练判断可选</w:t>
            </w:r>
          </w:p>
        </w:tc>
        <w:tc>
          <w:tcPr>
            <w:tcW w:w="1728" w:type="dxa"/>
            <w:tcMar>
              <w:top w:w="100" w:type="dxa"/>
              <w:left w:w="120" w:type="dxa"/>
              <w:bottom w:w="100" w:type="dxa"/>
              <w:right w:w="120" w:type="dxa"/>
            </w:tcMar>
            <w:vAlign w:val="center"/>
          </w:tcPr>
          <w:p w14:paraId="03178C14">
            <w:pPr>
              <w:spacing w:after="0" w:line="240" w:lineRule="auto"/>
            </w:pPr>
            <w:r>
              <w:rPr>
                <w:rFonts w:ascii="Times New Roman" w:hAnsi="Times New Roman" w:eastAsia="宋体"/>
                <w:b w:val="0"/>
                <w:i w:val="0"/>
                <w:color w:val="000000"/>
                <w:sz w:val="17"/>
              </w:rPr>
              <w:t>实操</w:t>
            </w:r>
          </w:p>
        </w:tc>
        <w:tc>
          <w:tcPr>
            <w:tcW w:w="1080" w:type="dxa"/>
            <w:tcMar>
              <w:top w:w="100" w:type="dxa"/>
              <w:left w:w="120" w:type="dxa"/>
              <w:bottom w:w="100" w:type="dxa"/>
              <w:right w:w="120" w:type="dxa"/>
            </w:tcMar>
            <w:vAlign w:val="center"/>
          </w:tcPr>
          <w:p w14:paraId="7362C226">
            <w:pPr>
              <w:spacing w:after="0" w:line="240" w:lineRule="auto"/>
            </w:pPr>
            <w:r>
              <w:rPr>
                <w:rFonts w:ascii="Times New Roman" w:hAnsi="Times New Roman" w:eastAsia="宋体"/>
                <w:b w:val="0"/>
                <w:i w:val="0"/>
                <w:color w:val="000000"/>
                <w:sz w:val="17"/>
              </w:rPr>
              <w:t>约30</w:t>
            </w:r>
          </w:p>
        </w:tc>
        <w:tc>
          <w:tcPr>
            <w:tcW w:w="1584" w:type="dxa"/>
            <w:tcMar>
              <w:top w:w="100" w:type="dxa"/>
              <w:left w:w="120" w:type="dxa"/>
              <w:bottom w:w="100" w:type="dxa"/>
              <w:right w:w="120" w:type="dxa"/>
            </w:tcMar>
            <w:vAlign w:val="center"/>
          </w:tcPr>
          <w:p w14:paraId="2FB43B61">
            <w:pPr>
              <w:spacing w:after="0" w:line="240" w:lineRule="auto"/>
            </w:pPr>
            <w:r>
              <w:rPr>
                <w:rFonts w:ascii="Times New Roman" w:hAnsi="Times New Roman" w:eastAsia="宋体"/>
                <w:b w:val="0"/>
                <w:i w:val="0"/>
                <w:color w:val="000000"/>
                <w:sz w:val="17"/>
              </w:rPr>
              <w:t>15分钟</w:t>
            </w:r>
          </w:p>
        </w:tc>
      </w:tr>
      <w:tr w14:paraId="23D02CB8">
        <w:trPr>
          <w:cantSplit/>
        </w:trPr>
        <w:tc>
          <w:tcPr>
            <w:tcW w:w="1944" w:type="dxa"/>
            <w:tcMar>
              <w:top w:w="100" w:type="dxa"/>
              <w:left w:w="120" w:type="dxa"/>
              <w:bottom w:w="100" w:type="dxa"/>
              <w:right w:w="120" w:type="dxa"/>
            </w:tcMar>
            <w:vAlign w:val="center"/>
          </w:tcPr>
          <w:p w14:paraId="0F60548B">
            <w:pPr>
              <w:spacing w:after="0" w:line="240" w:lineRule="auto"/>
            </w:pPr>
            <w:r>
              <w:rPr>
                <w:rFonts w:ascii="Times New Roman" w:hAnsi="Times New Roman" w:eastAsia="宋体"/>
                <w:b w:val="0"/>
                <w:i w:val="0"/>
                <w:color w:val="000000"/>
                <w:sz w:val="17"/>
              </w:rPr>
              <w:t>SafeSpace × 综合格斗社</w:t>
            </w:r>
          </w:p>
        </w:tc>
        <w:tc>
          <w:tcPr>
            <w:tcW w:w="2520" w:type="dxa"/>
            <w:tcMar>
              <w:top w:w="100" w:type="dxa"/>
              <w:left w:w="120" w:type="dxa"/>
              <w:bottom w:w="100" w:type="dxa"/>
              <w:right w:w="120" w:type="dxa"/>
            </w:tcMar>
            <w:vAlign w:val="center"/>
          </w:tcPr>
          <w:p w14:paraId="1EC8ED1C">
            <w:pPr>
              <w:spacing w:after="0" w:line="240" w:lineRule="auto"/>
            </w:pPr>
            <w:r>
              <w:rPr>
                <w:rFonts w:ascii="Times New Roman" w:hAnsi="Times New Roman" w:eastAsia="宋体"/>
                <w:b w:val="0"/>
                <w:i w:val="0"/>
                <w:color w:val="000000"/>
                <w:sz w:val="17"/>
              </w:rPr>
              <w:t>Q&amp;A / 反馈 / 自愿合影</w:t>
            </w:r>
          </w:p>
        </w:tc>
        <w:tc>
          <w:tcPr>
            <w:tcW w:w="1728" w:type="dxa"/>
            <w:tcMar>
              <w:top w:w="100" w:type="dxa"/>
              <w:left w:w="120" w:type="dxa"/>
              <w:bottom w:w="100" w:type="dxa"/>
              <w:right w:w="120" w:type="dxa"/>
            </w:tcMar>
            <w:vAlign w:val="center"/>
          </w:tcPr>
          <w:p w14:paraId="6FDC5052">
            <w:pPr>
              <w:spacing w:after="0" w:line="240" w:lineRule="auto"/>
            </w:pPr>
            <w:r>
              <w:rPr>
                <w:rFonts w:ascii="Times New Roman" w:hAnsi="Times New Roman" w:eastAsia="宋体"/>
                <w:b w:val="0"/>
                <w:i w:val="0"/>
                <w:color w:val="000000"/>
                <w:sz w:val="17"/>
              </w:rPr>
              <w:t>互动</w:t>
            </w:r>
          </w:p>
        </w:tc>
        <w:tc>
          <w:tcPr>
            <w:tcW w:w="1080" w:type="dxa"/>
            <w:tcMar>
              <w:top w:w="100" w:type="dxa"/>
              <w:left w:w="120" w:type="dxa"/>
              <w:bottom w:w="100" w:type="dxa"/>
              <w:right w:w="120" w:type="dxa"/>
            </w:tcMar>
            <w:vAlign w:val="center"/>
          </w:tcPr>
          <w:p w14:paraId="36EB0142">
            <w:pPr>
              <w:spacing w:after="0" w:line="240" w:lineRule="auto"/>
            </w:pPr>
            <w:r>
              <w:rPr>
                <w:rFonts w:ascii="Times New Roman" w:hAnsi="Times New Roman" w:eastAsia="宋体"/>
                <w:b w:val="0"/>
                <w:i w:val="0"/>
                <w:color w:val="000000"/>
                <w:sz w:val="17"/>
              </w:rPr>
              <w:t>约30</w:t>
            </w:r>
          </w:p>
        </w:tc>
        <w:tc>
          <w:tcPr>
            <w:tcW w:w="1584" w:type="dxa"/>
            <w:tcMar>
              <w:top w:w="100" w:type="dxa"/>
              <w:left w:w="120" w:type="dxa"/>
              <w:bottom w:w="100" w:type="dxa"/>
              <w:right w:w="120" w:type="dxa"/>
            </w:tcMar>
            <w:vAlign w:val="center"/>
          </w:tcPr>
          <w:p w14:paraId="0720A0F0">
            <w:pPr>
              <w:spacing w:after="0" w:line="240" w:lineRule="auto"/>
            </w:pPr>
            <w:r>
              <w:rPr>
                <w:rFonts w:ascii="Times New Roman" w:hAnsi="Times New Roman" w:eastAsia="宋体"/>
                <w:b w:val="0"/>
                <w:i w:val="0"/>
                <w:color w:val="000000"/>
                <w:sz w:val="17"/>
              </w:rPr>
              <w:t>课后5-10分钟</w:t>
            </w:r>
          </w:p>
        </w:tc>
      </w:tr>
    </w:tbl>
    <w:p w14:paraId="3CBC67FF">
      <w:pPr>
        <w:sectPr>
          <w:headerReference r:id="rId4" w:type="default"/>
          <w:footerReference r:id="rId5" w:type="default"/>
          <w:pgSz w:w="11906" w:h="16838"/>
          <w:pgMar w:top="1440" w:right="1440" w:bottom="1440" w:left="1440" w:header="708" w:footer="708" w:gutter="0"/>
          <w:cols w:space="720" w:num="1"/>
          <w:docGrid w:linePitch="360" w:charSpace="0"/>
        </w:sectPr>
      </w:pPr>
    </w:p>
    <w:p w14:paraId="67526C7D">
      <w:pPr>
        <w:spacing w:before="2600"/>
      </w:pPr>
    </w:p>
    <w:p w14:paraId="622B67D8">
      <w:pPr>
        <w:spacing w:after="120"/>
        <w:jc w:val="center"/>
      </w:pPr>
      <w:r>
        <w:rPr>
          <w:rFonts w:ascii="Times New Roman" w:hAnsi="Times New Roman" w:eastAsia="微软雅黑"/>
          <w:b/>
          <w:i w:val="0"/>
          <w:color w:val="1B2A6B"/>
          <w:sz w:val="44"/>
        </w:rPr>
        <w:t>2026</w:t>
      </w:r>
    </w:p>
    <w:p w14:paraId="5AB7F829">
      <w:pPr>
        <w:spacing w:after="160"/>
        <w:jc w:val="center"/>
      </w:pPr>
      <w:r>
        <w:rPr>
          <w:rFonts w:ascii="Times New Roman" w:hAnsi="Times New Roman" w:eastAsia="微软雅黑"/>
          <w:b/>
          <w:i w:val="0"/>
          <w:color w:val="1B2A6B"/>
          <w:sz w:val="52"/>
        </w:rPr>
        <w:t>ACTIVITY PROPOSAL</w:t>
      </w:r>
    </w:p>
    <w:p w14:paraId="3E6AA30C">
      <w:pPr>
        <w:spacing w:after="900"/>
        <w:jc w:val="center"/>
      </w:pPr>
      <w:r>
        <w:rPr>
          <w:rFonts w:ascii="Times New Roman" w:hAnsi="Times New Roman" w:eastAsia="微软雅黑"/>
          <w:b w:val="0"/>
          <w:i w:val="0"/>
          <w:color w:val="595959"/>
          <w:sz w:val="26"/>
        </w:rPr>
        <w:t>Campus Self-Protection and Basic Self-Defence Workshop</w:t>
      </w:r>
    </w:p>
    <w:p w14:paraId="5D6272BD">
      <w:pPr>
        <w:spacing w:after="120"/>
        <w:jc w:val="center"/>
      </w:pPr>
      <w:r>
        <w:rPr>
          <w:rFonts w:ascii="Times New Roman" w:hAnsi="Times New Roman"/>
          <w:b/>
          <w:i w:val="0"/>
          <w:color w:val="1B2A6B"/>
          <w:sz w:val="24"/>
        </w:rPr>
        <w:t>Organisers: Self-Management Course Group, Chinese Culture Teaching Centre &amp; SafeSpace</w:t>
      </w:r>
    </w:p>
    <w:p w14:paraId="602B2D83">
      <w:pPr>
        <w:jc w:val="center"/>
      </w:pPr>
      <w:r>
        <w:rPr>
          <w:rFonts w:ascii="Times New Roman" w:hAnsi="Times New Roman"/>
          <w:b/>
          <w:color w:val="1B2A6B"/>
          <w:sz w:val="24"/>
        </w:rPr>
        <w:t>Partner Society: 综合格斗社</w:t>
      </w:r>
    </w:p>
    <w:p w14:paraId="40C08F3A">
      <w:pPr>
        <w:spacing w:after="140" w:line="300" w:lineRule="auto"/>
        <w:jc w:val="center"/>
      </w:pPr>
      <w:r>
        <w:rPr>
          <w:rFonts w:ascii="Times New Roman" w:hAnsi="Times New Roman" w:eastAsia="微软雅黑"/>
          <w:b w:val="0"/>
          <w:i w:val="0"/>
          <w:color w:val="595959"/>
          <w:sz w:val="26"/>
        </w:rPr>
        <w:t>October 2026</w:t>
      </w:r>
    </w:p>
    <w:p w14:paraId="72D3E063">
      <w:pPr>
        <w:pageBreakBefore/>
      </w:pPr>
    </w:p>
    <w:p w14:paraId="34D049FB">
      <w:pPr>
        <w:spacing w:after="240"/>
        <w:jc w:val="center"/>
      </w:pPr>
      <w:r>
        <w:rPr>
          <w:rFonts w:ascii="Times New Roman" w:hAnsi="Times New Roman" w:eastAsia="宋体" w:cs="Times New Roman"/>
          <w:b/>
          <w:bCs/>
          <w:color w:val="1B2A6B"/>
          <w:sz w:val="30"/>
          <w:szCs w:val="30"/>
        </w:rPr>
        <w:t>Table of Contents</w:t>
      </w:r>
    </w:p>
    <w:sdt>
      <w:sdtPr>
        <w:alias w:val="Table of Contents"/>
        <w:id w:val="915462395"/>
      </w:sdtPr>
      <w:sdtContent>
        <w:p w14:paraId="4F044AA4">
          <w:r>
            <w:fldChar w:fldCharType="begin"/>
          </w:r>
          <w:r>
            <w:instrText xml:space="preserve"> TOC \o "1-2" \h \z \u </w:instrText>
          </w:r>
          <w:r>
            <w:fldChar w:fldCharType="separate"/>
          </w:r>
        </w:p>
        <w:p w14:paraId="733C6B15">
          <w:pPr>
            <w:tabs>
              <w:tab w:val="right" w:leader="dot" w:pos="9000"/>
            </w:tabs>
            <w:ind w:left="0"/>
          </w:pPr>
          <w:r>
            <w:rPr>
              <w:rFonts w:ascii="Times New Roman" w:hAnsi="Times New Roman" w:eastAsia="宋体"/>
            </w:rPr>
            <w:t>1. Theme</w:t>
          </w:r>
          <w:r>
            <w:tab/>
          </w:r>
          <w:r>
            <w:t>11</w:t>
          </w:r>
        </w:p>
        <w:p w14:paraId="5CF09637">
          <w:pPr>
            <w:tabs>
              <w:tab w:val="right" w:leader="dot" w:pos="9000"/>
            </w:tabs>
            <w:ind w:left="0"/>
          </w:pPr>
          <w:r>
            <w:rPr>
              <w:rFonts w:ascii="Times New Roman" w:hAnsi="Times New Roman" w:eastAsia="宋体"/>
            </w:rPr>
            <w:t>2. Background</w:t>
          </w:r>
          <w:r>
            <w:tab/>
          </w:r>
          <w:r>
            <w:t>11</w:t>
          </w:r>
        </w:p>
        <w:p w14:paraId="7A2D7BE9">
          <w:pPr>
            <w:tabs>
              <w:tab w:val="right" w:leader="dot" w:pos="9000"/>
            </w:tabs>
            <w:ind w:left="0"/>
          </w:pPr>
          <w:r>
            <w:rPr>
              <w:rFonts w:ascii="Times New Roman" w:hAnsi="Times New Roman" w:eastAsia="宋体"/>
            </w:rPr>
            <w:t>3. Purpose</w:t>
          </w:r>
          <w:r>
            <w:tab/>
          </w:r>
          <w:r>
            <w:t>11</w:t>
          </w:r>
        </w:p>
        <w:p w14:paraId="1E9EE0E8">
          <w:pPr>
            <w:tabs>
              <w:tab w:val="right" w:leader="dot" w:pos="9000"/>
            </w:tabs>
            <w:ind w:left="0"/>
          </w:pPr>
          <w:r>
            <w:rPr>
              <w:rFonts w:ascii="Times New Roman" w:hAnsi="Times New Roman" w:eastAsia="宋体"/>
            </w:rPr>
            <w:t>4. Time &amp; Venue</w:t>
          </w:r>
          <w:r>
            <w:tab/>
          </w:r>
          <w:r>
            <w:t>11</w:t>
          </w:r>
        </w:p>
        <w:p w14:paraId="7808884E">
          <w:pPr>
            <w:tabs>
              <w:tab w:val="right" w:leader="dot" w:pos="9000"/>
            </w:tabs>
            <w:ind w:left="0"/>
          </w:pPr>
          <w:r>
            <w:rPr>
              <w:rFonts w:ascii="Times New Roman" w:hAnsi="Times New Roman" w:eastAsia="宋体"/>
            </w:rPr>
            <w:t>5. Process</w:t>
          </w:r>
          <w:r>
            <w:tab/>
          </w:r>
          <w:r>
            <w:t>12</w:t>
          </w:r>
        </w:p>
        <w:p w14:paraId="3AF799DA">
          <w:pPr>
            <w:tabs>
              <w:tab w:val="right" w:leader="dot" w:pos="9000"/>
            </w:tabs>
            <w:ind w:left="360"/>
          </w:pPr>
          <w:r>
            <w:rPr>
              <w:rFonts w:ascii="Times New Roman" w:hAnsi="Times New Roman" w:eastAsia="宋体"/>
            </w:rPr>
            <w:t>5.1 Preparation Stage</w:t>
          </w:r>
          <w:r>
            <w:tab/>
          </w:r>
          <w:r>
            <w:t>12</w:t>
          </w:r>
        </w:p>
        <w:p w14:paraId="61034808">
          <w:pPr>
            <w:tabs>
              <w:tab w:val="right" w:leader="dot" w:pos="9000"/>
            </w:tabs>
            <w:ind w:left="360"/>
          </w:pPr>
          <w:r>
            <w:rPr>
              <w:rFonts w:ascii="Times New Roman" w:hAnsi="Times New Roman" w:eastAsia="宋体"/>
            </w:rPr>
            <w:t>5.2 Execution Stage</w:t>
          </w:r>
          <w:r>
            <w:tab/>
          </w:r>
          <w:r>
            <w:t>12</w:t>
          </w:r>
        </w:p>
        <w:p w14:paraId="2A29B88C">
          <w:pPr>
            <w:tabs>
              <w:tab w:val="right" w:leader="dot" w:pos="9000"/>
            </w:tabs>
            <w:ind w:left="360"/>
          </w:pPr>
          <w:r>
            <w:rPr>
              <w:rFonts w:ascii="Times New Roman" w:hAnsi="Times New Roman" w:eastAsia="宋体"/>
            </w:rPr>
            <w:t>5.3 Follow-up Stage</w:t>
          </w:r>
          <w:r>
            <w:tab/>
          </w:r>
          <w:r>
            <w:t>13</w:t>
          </w:r>
        </w:p>
        <w:p w14:paraId="7FC1DA52">
          <w:pPr>
            <w:tabs>
              <w:tab w:val="right" w:leader="dot" w:pos="9000"/>
            </w:tabs>
            <w:ind w:left="0"/>
          </w:pPr>
          <w:r>
            <w:rPr>
              <w:rFonts w:ascii="Times New Roman" w:hAnsi="Times New Roman" w:eastAsia="宋体"/>
            </w:rPr>
            <w:t>6. Preparation</w:t>
          </w:r>
          <w:r>
            <w:tab/>
          </w:r>
          <w:r>
            <w:t>13</w:t>
          </w:r>
        </w:p>
        <w:p w14:paraId="71375338">
          <w:pPr>
            <w:tabs>
              <w:tab w:val="right" w:leader="dot" w:pos="9000"/>
            </w:tabs>
            <w:ind w:left="0"/>
          </w:pPr>
          <w:r>
            <w:rPr>
              <w:rFonts w:ascii="Times New Roman" w:hAnsi="Times New Roman" w:eastAsia="宋体"/>
            </w:rPr>
            <w:t>7. Personnel Division of Labour</w:t>
          </w:r>
          <w:r>
            <w:tab/>
          </w:r>
          <w:r>
            <w:t>14</w:t>
          </w:r>
        </w:p>
        <w:p w14:paraId="46331321">
          <w:pPr>
            <w:tabs>
              <w:tab w:val="right" w:leader="dot" w:pos="9000"/>
            </w:tabs>
            <w:ind w:left="0"/>
          </w:pPr>
          <w:r>
            <w:rPr>
              <w:rFonts w:ascii="Times New Roman" w:hAnsi="Times New Roman" w:eastAsia="宋体"/>
            </w:rPr>
            <w:t>8. Budget</w:t>
          </w:r>
          <w:r>
            <w:tab/>
          </w:r>
          <w:r>
            <w:t>14</w:t>
          </w:r>
        </w:p>
        <w:p w14:paraId="2A284137">
          <w:pPr>
            <w:tabs>
              <w:tab w:val="right" w:leader="dot" w:pos="9000"/>
            </w:tabs>
            <w:ind w:left="0"/>
          </w:pPr>
          <w:r>
            <w:rPr>
              <w:rFonts w:ascii="Times New Roman" w:hAnsi="Times New Roman" w:eastAsia="宋体"/>
            </w:rPr>
            <w:t>9. Emergency Plan</w:t>
          </w:r>
          <w:r>
            <w:tab/>
          </w:r>
          <w:r>
            <w:t>15</w:t>
          </w:r>
        </w:p>
        <w:p w14:paraId="357D2A31">
          <w:pPr>
            <w:tabs>
              <w:tab w:val="right" w:leader="dot" w:pos="9000"/>
            </w:tabs>
            <w:ind w:left="0"/>
          </w:pPr>
          <w:r>
            <w:rPr>
              <w:rFonts w:ascii="Times New Roman" w:hAnsi="Times New Roman" w:eastAsia="宋体"/>
            </w:rPr>
            <w:t>10. Attachments</w:t>
          </w:r>
          <w:r>
            <w:tab/>
          </w:r>
          <w:r>
            <w:t>15</w:t>
          </w:r>
        </w:p>
        <w:p w14:paraId="71D9B946">
          <w:r>
            <w:fldChar w:fldCharType="end"/>
          </w:r>
        </w:p>
      </w:sdtContent>
    </w:sdt>
    <w:p w14:paraId="5FE07818">
      <w:pPr>
        <w:pageBreakBefore/>
      </w:pPr>
    </w:p>
    <w:p w14:paraId="7DD8B6F6">
      <w:pPr>
        <w:pStyle w:val="2"/>
        <w:keepNext/>
        <w:pBdr>
          <w:bottom w:val="single" w:color="1B2A6B" w:sz="6" w:space="4"/>
        </w:pBdr>
        <w:spacing w:before="360" w:after="200"/>
      </w:pPr>
      <w:r>
        <w:rPr>
          <w:rFonts w:ascii="Times New Roman" w:hAnsi="Times New Roman" w:eastAsia="微软雅黑"/>
          <w:b/>
          <w:i w:val="0"/>
          <w:color w:val="1B2A6B"/>
          <w:sz w:val="30"/>
        </w:rPr>
        <w:t>1. Theme</w:t>
      </w:r>
    </w:p>
    <w:p w14:paraId="4D7A42F0">
      <w:pPr>
        <w:spacing w:after="140" w:line="324" w:lineRule="auto"/>
        <w:ind w:firstLine="475"/>
      </w:pPr>
      <w:r>
        <w:rPr>
          <w:rFonts w:ascii="Times New Roman" w:hAnsi="Times New Roman"/>
          <w:b w:val="0"/>
          <w:i w:val="0"/>
          <w:color w:val="000000"/>
          <w:sz w:val="24"/>
        </w:rPr>
        <w:t>Organised by the Self-Management Course Group, Chinese Culture Teaching Centre and SafeSpace, in collaboration with 综合格斗社 — “Campus Self-Protection and Basic Self-Defence Workshop”</w:t>
      </w:r>
    </w:p>
    <w:p w14:paraId="1477ED84">
      <w:pPr>
        <w:pStyle w:val="2"/>
        <w:keepNext/>
        <w:pBdr>
          <w:bottom w:val="single" w:color="1B2A6B" w:sz="6" w:space="4"/>
        </w:pBdr>
        <w:spacing w:before="360" w:after="200"/>
      </w:pPr>
      <w:r>
        <w:rPr>
          <w:rFonts w:ascii="Times New Roman" w:hAnsi="Times New Roman" w:eastAsia="微软雅黑"/>
          <w:b/>
          <w:i w:val="0"/>
          <w:color w:val="1B2A6B"/>
          <w:sz w:val="30"/>
        </w:rPr>
        <w:t>2. Background</w:t>
      </w:r>
    </w:p>
    <w:p w14:paraId="4AAC6DEF">
      <w:pPr>
        <w:spacing w:after="140" w:line="324" w:lineRule="auto"/>
        <w:ind w:firstLine="475"/>
      </w:pPr>
      <w:r>
        <w:rPr>
          <w:rFonts w:ascii="Times New Roman" w:hAnsi="Times New Roman"/>
          <w:sz w:val="24"/>
        </w:rPr>
        <w:t>This activity is jointly organised by the Self-Management Course Group, Chinese Culture Teaching Centre (中国文化教学中心自我管理课程组) and SafeSpace, in collaboration with 综合格斗社. It offers XJTLU students a beginner-friendly workshop combining safety education with structured, low-intensity self-defence training. The core message is “avoid and leave first”: self-protection should reduce risk and create a safe opportunity to disengage.</w:t>
      </w:r>
    </w:p>
    <w:p w14:paraId="7214481C">
      <w:pPr>
        <w:spacing w:after="140" w:line="324" w:lineRule="auto"/>
        <w:ind w:firstLine="475"/>
      </w:pPr>
      <w:r>
        <w:rPr>
          <w:rFonts w:ascii="Times New Roman" w:hAnsi="Times New Roman" w:eastAsia="宋体"/>
          <w:b w:val="0"/>
          <w:i w:val="0"/>
          <w:color w:val="000000"/>
          <w:sz w:val="24"/>
        </w:rPr>
        <w:t>Based on the latest discussion with the coach, the 90-minute core session will include approximately 60 minutes of supervised pad-based practice. The coach will first explain escape-first principles, proportionate defensive boundaries and vulnerability awareness, followed by controlled hand, elbow and kicking drills using pads. No participant will be used as a direct striking target for vulnerable body areas.</w:t>
      </w:r>
    </w:p>
    <w:p w14:paraId="2DC4EE3C">
      <w:pPr>
        <w:pStyle w:val="2"/>
        <w:keepNext/>
        <w:pBdr>
          <w:bottom w:val="single" w:color="1B2A6B" w:sz="6" w:space="4"/>
        </w:pBdr>
        <w:spacing w:before="360" w:after="200"/>
      </w:pPr>
      <w:r>
        <w:rPr>
          <w:rFonts w:ascii="Times New Roman" w:hAnsi="Times New Roman" w:eastAsia="微软雅黑"/>
          <w:b/>
          <w:i w:val="0"/>
          <w:color w:val="1B2A6B"/>
          <w:sz w:val="30"/>
        </w:rPr>
        <w:t>3. Purpose</w:t>
      </w:r>
    </w:p>
    <w:p w14:paraId="39D35D4D">
      <w:pPr>
        <w:spacing w:after="140" w:line="324" w:lineRule="auto"/>
        <w:ind w:firstLine="475"/>
      </w:pPr>
      <w:r>
        <w:rPr>
          <w:rFonts w:ascii="Times New Roman" w:hAnsi="Times New Roman" w:eastAsia="宋体"/>
          <w:b/>
          <w:i w:val="0"/>
          <w:color w:val="000000"/>
          <w:sz w:val="24"/>
        </w:rPr>
        <w:t xml:space="preserve">1. Safety education goal: </w:t>
      </w:r>
      <w:r>
        <w:rPr>
          <w:rFonts w:ascii="Times New Roman" w:hAnsi="Times New Roman" w:eastAsia="宋体"/>
          <w:b w:val="0"/>
          <w:i w:val="0"/>
          <w:color w:val="000000"/>
          <w:sz w:val="24"/>
        </w:rPr>
        <w:t>strengthen risk recognition, boundary setting, disengagement and help-seeking awareness, and reinforce that avoiding danger and leaving safely take priority over confrontation.</w:t>
      </w:r>
    </w:p>
    <w:p w14:paraId="0B021C7F">
      <w:pPr>
        <w:spacing w:after="140" w:line="324" w:lineRule="auto"/>
        <w:ind w:firstLine="475"/>
      </w:pPr>
      <w:r>
        <w:rPr>
          <w:rFonts w:ascii="Times New Roman" w:hAnsi="Times New Roman" w:eastAsia="宋体"/>
          <w:b/>
          <w:i w:val="0"/>
          <w:color w:val="000000"/>
          <w:sz w:val="24"/>
        </w:rPr>
        <w:t xml:space="preserve">2. Practical experience goal: </w:t>
      </w:r>
      <w:r>
        <w:rPr>
          <w:rFonts w:ascii="Times New Roman" w:hAnsi="Times New Roman" w:eastAsia="宋体"/>
          <w:b w:val="0"/>
          <w:i w:val="0"/>
          <w:color w:val="000000"/>
          <w:sz w:val="24"/>
        </w:rPr>
        <w:t>allow beginners to experience basic hand, elbow and kicking movements through supervised pad work, with emphasis on control, distance, consent and the stop mechanism rather than intensity or winning.</w:t>
      </w:r>
    </w:p>
    <w:p w14:paraId="0F59C693">
      <w:pPr>
        <w:spacing w:after="140" w:line="324" w:lineRule="auto"/>
        <w:ind w:firstLine="475"/>
      </w:pPr>
      <w:r>
        <w:rPr>
          <w:rFonts w:ascii="Times New Roman" w:hAnsi="Times New Roman" w:eastAsia="宋体"/>
          <w:b/>
          <w:i w:val="0"/>
          <w:color w:val="000000"/>
          <w:sz w:val="24"/>
        </w:rPr>
        <w:t xml:space="preserve">3. Campus community goal: </w:t>
      </w:r>
      <w:r>
        <w:rPr>
          <w:rFonts w:ascii="Times New Roman" w:hAnsi="Times New Roman" w:eastAsia="宋体"/>
          <w:b w:val="0"/>
          <w:i w:val="0"/>
          <w:color w:val="000000"/>
          <w:sz w:val="24"/>
        </w:rPr>
        <w:t>promote peer support, respect, voluntary participation, inclusion and a non-victim-blaming approach through collaboration among the Self-Management Course Group, Chinese Culture Teaching Centre, SafeSpace and 综合格斗社.</w:t>
      </w:r>
    </w:p>
    <w:p w14:paraId="46DFDEBC">
      <w:pPr>
        <w:pStyle w:val="2"/>
        <w:keepNext/>
        <w:pBdr>
          <w:bottom w:val="single" w:color="1B2A6B" w:sz="6" w:space="4"/>
        </w:pBdr>
        <w:spacing w:before="360" w:after="200"/>
      </w:pPr>
      <w:r>
        <w:rPr>
          <w:rFonts w:ascii="Times New Roman" w:hAnsi="Times New Roman" w:eastAsia="微软雅黑"/>
          <w:b/>
          <w:i w:val="0"/>
          <w:color w:val="1B2A6B"/>
          <w:sz w:val="30"/>
        </w:rPr>
        <w:t>4. Time &amp; Venue</w:t>
      </w:r>
    </w:p>
    <w:p w14:paraId="62A33702">
      <w:pPr>
        <w:spacing w:after="140" w:line="324" w:lineRule="auto"/>
        <w:ind w:firstLine="475"/>
      </w:pPr>
      <w:r>
        <w:rPr>
          <w:rFonts w:ascii="Times New Roman" w:hAnsi="Times New Roman" w:eastAsia="宋体"/>
          <w:b/>
          <w:i w:val="0"/>
          <w:color w:val="000000"/>
          <w:sz w:val="24"/>
        </w:rPr>
        <w:t xml:space="preserve">Time: </w:t>
      </w:r>
      <w:r>
        <w:rPr>
          <w:rFonts w:ascii="Times New Roman" w:hAnsi="Times New Roman" w:eastAsia="宋体"/>
          <w:b w:val="0"/>
          <w:i w:val="0"/>
          <w:color w:val="000000"/>
          <w:sz w:val="24"/>
        </w:rPr>
        <w:t>13 October 2026 (Tuesday30</w:t>
      </w:r>
      <w:r>
        <w:rPr>
          <w:rFonts w:hint="eastAsia"/>
          <w:b w:val="0"/>
          <w:i w:val="0"/>
          <w:color w:val="000000"/>
          <w:sz w:val="24"/>
          <w:lang w:val="en-US" w:eastAsia="zh-CN"/>
        </w:rPr>
        <w:t>2</w:t>
      </w:r>
      <w:r>
        <w:rPr>
          <w:rFonts w:ascii="Times New Roman" w:hAnsi="Times New Roman" w:eastAsia="宋体"/>
          <w:b w:val="0"/>
          <w:i w:val="0"/>
          <w:color w:val="000000"/>
          <w:sz w:val="24"/>
        </w:rPr>
        <w:t>, Week 5); 90-minute core session. Exact start time to be confirmed.</w:t>
      </w:r>
    </w:p>
    <w:p w14:paraId="44044B9D">
      <w:pPr>
        <w:spacing w:after="140" w:line="324" w:lineRule="auto"/>
        <w:ind w:firstLine="475"/>
      </w:pPr>
      <w:r>
        <w:rPr>
          <w:rFonts w:ascii="Times New Roman" w:hAnsi="Times New Roman" w:eastAsia="宋体"/>
          <w:b/>
          <w:i w:val="0"/>
          <w:color w:val="000000"/>
          <w:sz w:val="24"/>
        </w:rPr>
        <w:t xml:space="preserve">Venue: </w:t>
      </w:r>
      <w:r>
        <w:rPr>
          <w:rFonts w:ascii="Times New Roman" w:hAnsi="Times New Roman" w:eastAsia="宋体"/>
          <w:b w:val="0"/>
          <w:i w:val="0"/>
          <w:color w:val="000000"/>
          <w:sz w:val="24"/>
        </w:rPr>
        <w:t>Sports Centre Room  Combat Training Room. The room is spacious and equipped with mats, suitable for approximately 30 participants.</w:t>
      </w:r>
      <w:r>
        <w:rPr>
          <w:rFonts w:ascii="Times New Roman" w:hAnsi="Times New Roman" w:eastAsia="宋体"/>
          <w:b w:val="0"/>
          <w:i w:val="0"/>
          <w:color w:val="000000"/>
          <w:sz w:val="24"/>
        </w:rPr>
        <w:br w:type="textWrapping"/>
      </w:r>
      <w:r>
        <w:rPr>
          <w:rFonts w:ascii="Times New Roman" w:hAnsi="Times New Roman" w:eastAsia="宋体"/>
          <w:b/>
          <w:i w:val="0"/>
          <w:color w:val="000000"/>
          <w:sz w:val="24"/>
        </w:rPr>
        <w:t xml:space="preserve">Expected participants: </w:t>
      </w:r>
      <w:r>
        <w:rPr>
          <w:rFonts w:ascii="Times New Roman" w:hAnsi="Times New Roman" w:eastAsia="宋体"/>
          <w:b w:val="0"/>
          <w:i w:val="0"/>
          <w:color w:val="000000"/>
          <w:sz w:val="24"/>
        </w:rPr>
        <w:t>approximately 30 XJTLU students; beginners are welcome.</w:t>
      </w:r>
    </w:p>
    <w:p w14:paraId="48968F97">
      <w:pPr>
        <w:pStyle w:val="2"/>
        <w:keepNext/>
        <w:pBdr>
          <w:bottom w:val="single" w:color="1B2A6B" w:sz="6" w:space="4"/>
        </w:pBdr>
        <w:spacing w:before="360" w:after="200"/>
      </w:pPr>
      <w:r>
        <w:rPr>
          <w:rFonts w:ascii="Times New Roman" w:hAnsi="Times New Roman" w:eastAsia="微软雅黑"/>
          <w:b/>
          <w:i w:val="0"/>
          <w:color w:val="1B2A6B"/>
          <w:sz w:val="30"/>
        </w:rPr>
        <w:t>5. Process</w:t>
      </w:r>
    </w:p>
    <w:p w14:paraId="7AA51D47">
      <w:pPr>
        <w:pStyle w:val="3"/>
        <w:keepNext/>
        <w:spacing w:before="240" w:after="140"/>
      </w:pPr>
      <w:r>
        <w:rPr>
          <w:rFonts w:ascii="Times New Roman" w:hAnsi="Times New Roman" w:eastAsia="微软雅黑"/>
          <w:b/>
          <w:i w:val="0"/>
          <w:color w:val="1B2A6B"/>
          <w:sz w:val="26"/>
        </w:rPr>
        <w:t>5.1 Preparation Stage</w:t>
      </w:r>
    </w:p>
    <w:p w14:paraId="32603EBF">
      <w:pPr>
        <w:spacing w:after="140" w:line="324" w:lineRule="auto"/>
        <w:ind w:firstLine="475"/>
      </w:pPr>
      <w:r>
        <w:rPr>
          <w:rFonts w:ascii="Times New Roman" w:hAnsi="Times New Roman" w:eastAsia="宋体"/>
          <w:b/>
          <w:i w:val="0"/>
          <w:color w:val="000000"/>
          <w:sz w:val="24"/>
        </w:rPr>
        <w:t xml:space="preserve">1. Materials: </w:t>
      </w:r>
      <w:r>
        <w:rPr>
          <w:rFonts w:ascii="Times New Roman" w:hAnsi="Times New Roman" w:eastAsia="宋体"/>
          <w:b w:val="0"/>
          <w:i w:val="0"/>
          <w:color w:val="000000"/>
          <w:sz w:val="24"/>
        </w:rPr>
        <w:t>Complete the final material check three days before the event. Mats are available at the venue; gloves and striking pads will be provided by 综合格斗社. SafeSpace will prepare a first-aid kit, cold packs, disinfecting wipes/tissues, drinking water, sign-in materials, participant guidelines and a feedback QR code.</w:t>
      </w:r>
    </w:p>
    <w:p w14:paraId="4285FC7C">
      <w:pPr>
        <w:spacing w:after="140" w:line="324" w:lineRule="auto"/>
        <w:ind w:firstLine="475"/>
      </w:pPr>
      <w:r>
        <w:rPr>
          <w:rFonts w:ascii="Times New Roman" w:hAnsi="Times New Roman" w:eastAsia="宋体"/>
          <w:b/>
          <w:i w:val="0"/>
          <w:color w:val="000000"/>
          <w:sz w:val="24"/>
        </w:rPr>
        <w:t xml:space="preserve">2. Venue and safety check: </w:t>
      </w:r>
      <w:r>
        <w:rPr>
          <w:rFonts w:ascii="Times New Roman" w:hAnsi="Times New Roman" w:eastAsia="宋体"/>
          <w:b w:val="0"/>
          <w:i w:val="0"/>
          <w:color w:val="000000"/>
          <w:sz w:val="24"/>
        </w:rPr>
        <w:t>Arrive 45-60 minutes early to inspect the mats, floor condition, training distance, pads, participant flow and first-aid supplies, and designate a rest/observation area for participants who do not take part in practice.</w:t>
      </w:r>
    </w:p>
    <w:p w14:paraId="33814D0F">
      <w:pPr>
        <w:spacing w:after="140" w:line="324" w:lineRule="auto"/>
        <w:ind w:firstLine="475"/>
      </w:pPr>
      <w:r>
        <w:rPr>
          <w:rFonts w:ascii="Times New Roman" w:hAnsi="Times New Roman" w:eastAsia="宋体"/>
          <w:b/>
          <w:i w:val="0"/>
          <w:color w:val="000000"/>
          <w:sz w:val="24"/>
        </w:rPr>
        <w:t xml:space="preserve">3. Personnel and participant confirmation: </w:t>
      </w:r>
      <w:r>
        <w:rPr>
          <w:rFonts w:ascii="Times New Roman" w:hAnsi="Times New Roman" w:eastAsia="宋体"/>
          <w:b w:val="0"/>
          <w:i w:val="0"/>
          <w:color w:val="000000"/>
          <w:sz w:val="24"/>
        </w:rPr>
        <w:t>Three days before the event, confirm the coach, 综合格斗社 supporting staff and SafeSpace staff. Finalise the participant and waiting lists and send clothing, health, consent, stop-mechanism and opt-out reminders.</w:t>
      </w:r>
    </w:p>
    <w:p w14:paraId="1A43D679">
      <w:pPr>
        <w:pStyle w:val="3"/>
        <w:keepNext/>
        <w:spacing w:before="240" w:after="140"/>
      </w:pPr>
      <w:r>
        <w:rPr>
          <w:rFonts w:ascii="Times New Roman" w:hAnsi="Times New Roman" w:eastAsia="微软雅黑"/>
          <w:b/>
          <w:i w:val="0"/>
          <w:color w:val="1B2A6B"/>
          <w:sz w:val="26"/>
        </w:rPr>
        <w:t>5.2 Execution Stage</w:t>
      </w:r>
    </w:p>
    <w:p w14:paraId="3757317C">
      <w:pPr>
        <w:spacing w:after="140" w:line="324" w:lineRule="auto"/>
        <w:ind w:firstLine="475"/>
      </w:pPr>
      <w:r>
        <w:rPr>
          <w:rFonts w:ascii="Times New Roman" w:hAnsi="Times New Roman" w:eastAsia="宋体"/>
          <w:b/>
          <w:i w:val="0"/>
          <w:color w:val="000000"/>
          <w:sz w:val="24"/>
        </w:rPr>
        <w:t xml:space="preserve">1. Sign-in and entry: </w:t>
      </w:r>
      <w:r>
        <w:rPr>
          <w:rFonts w:ascii="Times New Roman" w:hAnsi="Times New Roman" w:eastAsia="宋体"/>
          <w:b w:val="0"/>
          <w:i w:val="0"/>
          <w:color w:val="000000"/>
          <w:sz w:val="24"/>
        </w:rPr>
        <w:t>Open sign-in 20 minutes before the session. Organisation staff will check the list and guide participants into the venue. Participants may observe only, and anyone who does not wish to be photographed may inform staff in advance.</w:t>
      </w:r>
    </w:p>
    <w:p w14:paraId="46EE8DAF">
      <w:pPr>
        <w:spacing w:after="140" w:line="324" w:lineRule="auto"/>
        <w:ind w:firstLine="475"/>
      </w:pPr>
      <w:r>
        <w:rPr>
          <w:rFonts w:ascii="Times New Roman" w:hAnsi="Times New Roman" w:eastAsia="宋体"/>
          <w:b/>
          <w:i w:val="0"/>
          <w:color w:val="000000"/>
          <w:sz w:val="24"/>
        </w:rPr>
        <w:t xml:space="preserve">2. Opening and safety briefing: </w:t>
      </w:r>
      <w:r>
        <w:rPr>
          <w:rFonts w:ascii="Times New Roman" w:hAnsi="Times New Roman" w:eastAsia="宋体"/>
          <w:b w:val="0"/>
          <w:i w:val="0"/>
          <w:color w:val="000000"/>
          <w:sz w:val="24"/>
        </w:rPr>
        <w:t>The activity leader/host introduces the Self-Management Course Group, Chinese Culture Teaching Centre, SafeSpace, 综合格斗社 and the purpose of the workshop, then explains the stop command, opt-out mechanism, partner-practice rules and the principle that self-protection takes priority over confrontation.</w:t>
      </w:r>
    </w:p>
    <w:p w14:paraId="03D44B9F">
      <w:pPr>
        <w:spacing w:after="140" w:line="324" w:lineRule="auto"/>
        <w:ind w:firstLine="475"/>
      </w:pPr>
      <w:r>
        <w:rPr>
          <w:rFonts w:ascii="Times New Roman" w:hAnsi="Times New Roman" w:eastAsia="宋体"/>
          <w:b/>
          <w:i w:val="0"/>
          <w:color w:val="000000"/>
          <w:sz w:val="24"/>
        </w:rPr>
        <w:t xml:space="preserve">3. Coach briefing: </w:t>
      </w:r>
      <w:r>
        <w:rPr>
          <w:rFonts w:ascii="Times New Roman" w:hAnsi="Times New Roman" w:eastAsia="宋体"/>
          <w:b w:val="0"/>
          <w:i w:val="0"/>
          <w:color w:val="000000"/>
          <w:sz w:val="24"/>
        </w:rPr>
        <w:t>The coach reinforces escape-first decision-making. Only when safe disengagement is not possible will the session discuss minimum, proportionate protective responses intended to create an opportunity to leave. Vulnerable body areas are covered for awareness only and are not used as direct-contact practice targets.</w:t>
      </w:r>
    </w:p>
    <w:p w14:paraId="6251D7B5">
      <w:pPr>
        <w:spacing w:after="0" w:line="276" w:lineRule="auto"/>
        <w:ind w:firstLine="475"/>
      </w:pPr>
      <w:r>
        <w:rPr>
          <w:rFonts w:ascii="Times New Roman" w:hAnsi="Times New Roman" w:eastAsia="宋体"/>
          <w:b/>
          <w:i w:val="0"/>
          <w:color w:val="000000"/>
          <w:sz w:val="24"/>
        </w:rPr>
        <w:t xml:space="preserve">4. 90-minute core session: </w:t>
      </w:r>
      <w:r>
        <w:rPr>
          <w:rFonts w:ascii="Times New Roman" w:hAnsi="Times New Roman" w:eastAsia="宋体"/>
          <w:b w:val="0"/>
          <w:i w:val="0"/>
          <w:color w:val="000000"/>
          <w:sz w:val="24"/>
        </w:rPr>
        <w:br w:type="textWrapping"/>
      </w:r>
      <w:r>
        <w:rPr>
          <w:rFonts w:ascii="Times New Roman" w:hAnsi="Times New Roman" w:eastAsia="宋体"/>
          <w:b w:val="0"/>
          <w:i w:val="0"/>
          <w:color w:val="000000"/>
          <w:sz w:val="24"/>
        </w:rPr>
        <w:t>0-10 min: escape-first principles, safety rules and training boundaries;</w:t>
      </w:r>
      <w:r>
        <w:rPr>
          <w:rFonts w:ascii="Times New Roman" w:hAnsi="Times New Roman" w:eastAsia="宋体"/>
          <w:b w:val="0"/>
          <w:i w:val="0"/>
          <w:color w:val="000000"/>
          <w:sz w:val="24"/>
        </w:rPr>
        <w:br w:type="textWrapping"/>
      </w:r>
      <w:r>
        <w:rPr>
          <w:rFonts w:ascii="Times New Roman" w:hAnsi="Times New Roman" w:eastAsia="宋体"/>
          <w:b w:val="0"/>
          <w:i w:val="0"/>
          <w:color w:val="000000"/>
          <w:sz w:val="24"/>
        </w:rPr>
        <w:t>10-30 min: risk recognition, vulnerability awareness and demonstration of protective boundaries;</w:t>
      </w:r>
      <w:r>
        <w:rPr>
          <w:rFonts w:ascii="Times New Roman" w:hAnsi="Times New Roman" w:eastAsia="宋体"/>
          <w:b w:val="0"/>
          <w:i w:val="0"/>
          <w:color w:val="000000"/>
          <w:sz w:val="24"/>
        </w:rPr>
        <w:br w:type="textWrapping"/>
      </w:r>
      <w:r>
        <w:rPr>
          <w:rFonts w:ascii="Times New Roman" w:hAnsi="Times New Roman" w:eastAsia="宋体"/>
          <w:b w:val="0"/>
          <w:i w:val="0"/>
          <w:color w:val="000000"/>
          <w:sz w:val="24"/>
        </w:rPr>
        <w:t>30-90 min: controlled pad-based practice. Main content includes hand techniques, a guarded elbow movement and front-kick practice; an additional kicking movement may be demonstrated or practised on pads only at the coach’s discretion. No full-contact sparring is included.</w:t>
      </w:r>
    </w:p>
    <w:p w14:paraId="2F015856">
      <w:pPr>
        <w:spacing w:after="140" w:line="324" w:lineRule="auto"/>
        <w:ind w:firstLine="475"/>
      </w:pPr>
      <w:r>
        <w:rPr>
          <w:rFonts w:ascii="Times New Roman" w:hAnsi="Times New Roman" w:eastAsia="宋体"/>
          <w:b/>
          <w:i w:val="0"/>
          <w:color w:val="000000"/>
          <w:sz w:val="24"/>
        </w:rPr>
        <w:t xml:space="preserve">5. Practical organisation: </w:t>
      </w:r>
      <w:r>
        <w:rPr>
          <w:rFonts w:ascii="Times New Roman" w:hAnsi="Times New Roman" w:eastAsia="宋体"/>
          <w:b w:val="0"/>
          <w:i w:val="0"/>
          <w:color w:val="000000"/>
          <w:sz w:val="24"/>
        </w:rPr>
        <w:t>The coach and 综合格斗社 staff supervise demonstrations, grouping, pad holding, intensity control and technical safety. Participants must not add force, speed or difficulty on their own; any stop call must be respected immediately.</w:t>
      </w:r>
    </w:p>
    <w:p w14:paraId="0BD2168A">
      <w:pPr>
        <w:spacing w:after="140" w:line="324" w:lineRule="auto"/>
        <w:ind w:firstLine="475"/>
      </w:pPr>
      <w:r>
        <w:rPr>
          <w:rFonts w:ascii="Times New Roman" w:hAnsi="Times New Roman" w:eastAsia="宋体"/>
          <w:b/>
          <w:i w:val="0"/>
          <w:color w:val="000000"/>
          <w:sz w:val="24"/>
        </w:rPr>
        <w:t xml:space="preserve">6. Closing: </w:t>
      </w:r>
      <w:r>
        <w:rPr>
          <w:rFonts w:ascii="Times New Roman" w:hAnsi="Times New Roman" w:eastAsia="宋体"/>
          <w:b w:val="0"/>
          <w:i w:val="0"/>
          <w:color w:val="000000"/>
          <w:sz w:val="24"/>
        </w:rPr>
        <w:t>After the core session, allow a short Q&amp;A and collect feedback. Remind participants that the workshop is not a substitute for professional training and cannot guarantee safety in real-world incidents. Group photos are voluntary, followed by equipment count and venue restoration.</w:t>
      </w:r>
    </w:p>
    <w:p w14:paraId="6E82D1B9">
      <w:pPr>
        <w:pStyle w:val="3"/>
        <w:keepNext/>
        <w:spacing w:before="240" w:after="140"/>
      </w:pPr>
      <w:r>
        <w:rPr>
          <w:rFonts w:ascii="Times New Roman" w:hAnsi="Times New Roman" w:eastAsia="微软雅黑"/>
          <w:b/>
          <w:i w:val="0"/>
          <w:color w:val="1B2A6B"/>
          <w:sz w:val="26"/>
        </w:rPr>
        <w:t>5.3 Follow-up Stage</w:t>
      </w:r>
    </w:p>
    <w:p w14:paraId="157595FD">
      <w:pPr>
        <w:spacing w:after="140" w:line="324" w:lineRule="auto"/>
        <w:ind w:firstLine="475"/>
      </w:pPr>
      <w:r>
        <w:rPr>
          <w:rFonts w:ascii="Times New Roman" w:hAnsi="Times New Roman" w:eastAsia="宋体"/>
          <w:b/>
          <w:i w:val="0"/>
          <w:color w:val="000000"/>
          <w:sz w:val="24"/>
        </w:rPr>
        <w:t xml:space="preserve">1. Records and publicity: </w:t>
      </w:r>
      <w:r>
        <w:rPr>
          <w:rFonts w:ascii="Times New Roman" w:hAnsi="Times New Roman" w:eastAsia="宋体"/>
          <w:b w:val="0"/>
          <w:i w:val="0"/>
          <w:color w:val="000000"/>
          <w:sz w:val="24"/>
        </w:rPr>
        <w:t>Within 24 hours, organise attendance data, feedback, photos and short-video material. Publicity content should be reviewed before release, and images of participants who opted out of photography must not be published.</w:t>
      </w:r>
    </w:p>
    <w:p w14:paraId="7F3EE91E">
      <w:pPr>
        <w:spacing w:after="140" w:line="324" w:lineRule="auto"/>
        <w:ind w:firstLine="475"/>
      </w:pPr>
      <w:r>
        <w:rPr>
          <w:rFonts w:ascii="Times New Roman" w:hAnsi="Times New Roman" w:eastAsia="宋体"/>
          <w:b/>
          <w:i w:val="0"/>
          <w:color w:val="000000"/>
          <w:sz w:val="24"/>
        </w:rPr>
        <w:t xml:space="preserve">2. Review and filing: </w:t>
      </w:r>
      <w:r>
        <w:rPr>
          <w:rFonts w:ascii="Times New Roman" w:hAnsi="Times New Roman" w:eastAsia="宋体"/>
          <w:b w:val="0"/>
          <w:i w:val="0"/>
          <w:color w:val="000000"/>
          <w:sz w:val="24"/>
        </w:rPr>
        <w:t>The activity leader consolidates feedback from SafeSpace departments, 综合格斗社 and the coach. The Organisation Department finance lead keeps the approved budget, invoices, payment screenshots and other required financial records.</w:t>
      </w:r>
    </w:p>
    <w:p w14:paraId="2EE60B5A">
      <w:pPr>
        <w:pStyle w:val="2"/>
        <w:keepNext/>
        <w:pBdr>
          <w:bottom w:val="single" w:color="1B2A6B" w:sz="6" w:space="4"/>
        </w:pBdr>
        <w:spacing w:before="360" w:after="200"/>
      </w:pPr>
      <w:r>
        <w:rPr>
          <w:rFonts w:ascii="Times New Roman" w:hAnsi="Times New Roman" w:eastAsia="微软雅黑"/>
          <w:b/>
          <w:i w:val="0"/>
          <w:color w:val="1B2A6B"/>
          <w:sz w:val="30"/>
        </w:rPr>
        <w:t>6. Preparation</w:t>
      </w:r>
    </w:p>
    <w:p w14:paraId="3D69FD18">
      <w:pPr>
        <w:spacing w:after="140" w:line="324" w:lineRule="auto"/>
        <w:ind w:firstLine="475"/>
      </w:pPr>
      <w:r>
        <w:rPr>
          <w:rFonts w:ascii="Times New Roman" w:hAnsi="Times New Roman" w:eastAsia="宋体"/>
          <w:b/>
          <w:i w:val="0"/>
          <w:color w:val="000000"/>
          <w:sz w:val="24"/>
        </w:rPr>
        <w:t xml:space="preserve">1. Venue and equipment: </w:t>
      </w:r>
      <w:r>
        <w:rPr>
          <w:rFonts w:ascii="Times New Roman" w:hAnsi="Times New Roman" w:eastAsia="宋体"/>
          <w:b w:val="0"/>
          <w:i w:val="0"/>
          <w:color w:val="000000"/>
          <w:sz w:val="24"/>
        </w:rPr>
        <w:t>Confirm Sports Centre Room 30</w:t>
      </w:r>
      <w:r>
        <w:rPr>
          <w:rFonts w:hint="eastAsia"/>
          <w:b w:val="0"/>
          <w:i w:val="0"/>
          <w:color w:val="000000"/>
          <w:sz w:val="24"/>
          <w:lang w:val="en-US" w:eastAsia="zh-CN"/>
        </w:rPr>
        <w:t>2</w:t>
      </w:r>
      <w:r>
        <w:rPr>
          <w:rFonts w:ascii="Times New Roman" w:hAnsi="Times New Roman" w:eastAsia="宋体"/>
          <w:b w:val="0"/>
          <w:i w:val="0"/>
          <w:color w:val="000000"/>
          <w:sz w:val="24"/>
        </w:rPr>
        <w:t>. The venue provides mats; 综合格斗社 provides gloves and striking pads. Check equipment condition, floor safety and practice spacing before the event.</w:t>
      </w:r>
    </w:p>
    <w:p w14:paraId="3BAFEA1A">
      <w:pPr>
        <w:spacing w:after="140" w:line="324" w:lineRule="auto"/>
        <w:ind w:firstLine="475"/>
      </w:pPr>
      <w:r>
        <w:rPr>
          <w:rFonts w:ascii="Times New Roman" w:hAnsi="Times New Roman"/>
          <w:sz w:val="24"/>
        </w:rPr>
        <w:t>2. Promotion and registration: Promote through the SafeSpace official account, 综合格斗社 channels, university email, WeChat groups/Moments and posters if needed. Cap registration at around 30 with a small waiting list and reconfirm attendance 3-5 days before the event.</w:t>
      </w:r>
    </w:p>
    <w:p w14:paraId="40E20AE1">
      <w:pPr>
        <w:spacing w:after="140" w:line="324" w:lineRule="auto"/>
        <w:ind w:firstLine="475"/>
        <w:rPr>
          <w:rFonts w:ascii="Times New Roman" w:hAnsi="Times New Roman" w:eastAsia="宋体"/>
          <w:b/>
          <w:i w:val="0"/>
          <w:color w:val="000000"/>
          <w:sz w:val="24"/>
        </w:rPr>
      </w:pPr>
      <w:r>
        <w:rPr>
          <w:rFonts w:ascii="Times New Roman" w:hAnsi="Times New Roman" w:eastAsia="宋体"/>
          <w:b/>
          <w:i w:val="0"/>
          <w:color w:val="000000"/>
          <w:sz w:val="24"/>
        </w:rPr>
        <w:t xml:space="preserve">3. Safety information: </w:t>
      </w:r>
      <w:r>
        <w:rPr>
          <w:rFonts w:ascii="Times New Roman" w:hAnsi="Times New Roman"/>
          <w:sz w:val="24"/>
        </w:rPr>
        <w:t>A health screening section will be included in the Wenjuanxing registration form to inform participants that the activity involves moderately intensive boxing and self-defense practice. Participants will be required to confirm that they do not have high blood pressure, heart disease, cardiovascular or cerebrovascular conditions, or any other health conditions that may make strenuous physical activity unsuitable. Participants with relevant medical conditions, physical discomfort, or other potential health risks will be advised not to take part in the practical training sessions.</w:t>
      </w:r>
    </w:p>
    <w:p w14:paraId="26AEE501">
      <w:pPr>
        <w:spacing w:after="140" w:line="324" w:lineRule="auto"/>
        <w:ind w:firstLine="475"/>
      </w:pPr>
      <w:r>
        <w:rPr>
          <w:rFonts w:ascii="Times New Roman" w:hAnsi="Times New Roman" w:eastAsia="宋体"/>
          <w:b w:val="0"/>
          <w:i w:val="0"/>
          <w:color w:val="000000"/>
          <w:sz w:val="24"/>
        </w:rPr>
        <w:t>The registration form/group notice should state clothing guidance, health reminders, consent for partner practice, the right to observe or withdraw at any time, prohibition of unauthorised techniques or excessive force, risk-assessment information and the photography opt-out mechanism.</w:t>
      </w:r>
    </w:p>
    <w:p w14:paraId="7D7D7517">
      <w:pPr>
        <w:pStyle w:val="2"/>
        <w:keepNext/>
        <w:pageBreakBefore/>
        <w:pBdr>
          <w:bottom w:val="single" w:color="1B2A6B" w:sz="6" w:space="4"/>
        </w:pBdr>
        <w:spacing w:before="360" w:after="200"/>
      </w:pPr>
      <w:r>
        <w:rPr>
          <w:rFonts w:ascii="Times New Roman" w:hAnsi="Times New Roman" w:eastAsia="微软雅黑"/>
          <w:b/>
          <w:i w:val="0"/>
          <w:color w:val="1B2A6B"/>
          <w:sz w:val="30"/>
        </w:rPr>
        <w:t>7. Personnel Division of Labour</w:t>
      </w:r>
    </w:p>
    <w:tbl>
      <w:tblPr>
        <w:tblStyle w:val="11"/>
        <w:tblW w:w="7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3000"/>
        <w:gridCol w:w="3800"/>
        <w:gridCol w:w="800"/>
      </w:tblGrid>
      <w:tr w14:paraId="411CE7AF">
        <w:trPr>
          <w:cantSplit/>
          <w:tblHeader/>
        </w:trPr>
        <w:tc>
          <w:tcPr>
            <w:tcW w:w="3240" w:type="dxa"/>
            <w:shd w:val="clear" w:color="auto" w:fill="EAEEF7"/>
            <w:tcMar>
              <w:top w:w="100" w:type="dxa"/>
              <w:left w:w="120" w:type="dxa"/>
              <w:bottom w:w="100" w:type="dxa"/>
              <w:right w:w="120" w:type="dxa"/>
            </w:tcMar>
            <w:vAlign w:val="center"/>
          </w:tcPr>
          <w:p w14:paraId="67358B32">
            <w:pPr>
              <w:spacing w:after="0" w:line="240" w:lineRule="auto"/>
              <w:jc w:val="center"/>
            </w:pPr>
            <w:r>
              <w:rPr>
                <w:rFonts w:ascii="Times New Roman" w:hAnsi="Times New Roman" w:eastAsia="宋体" w:cs="Times New Roman"/>
                <w:b w:val="0"/>
                <w:i w:val="0"/>
                <w:color w:val="000000"/>
                <w:sz w:val="18"/>
                <w:szCs w:val="22"/>
              </w:rPr>
              <w:t>Work Item</w:t>
            </w:r>
          </w:p>
        </w:tc>
        <w:tc>
          <w:tcPr>
            <w:tcW w:w="4968" w:type="dxa"/>
            <w:shd w:val="clear" w:color="auto" w:fill="EAEEF7"/>
            <w:tcMar>
              <w:top w:w="100" w:type="dxa"/>
              <w:left w:w="120" w:type="dxa"/>
              <w:bottom w:w="100" w:type="dxa"/>
              <w:right w:w="120" w:type="dxa"/>
            </w:tcMar>
            <w:vAlign w:val="center"/>
          </w:tcPr>
          <w:p w14:paraId="13C6C54A">
            <w:pPr>
              <w:spacing w:after="0" w:line="240" w:lineRule="auto"/>
              <w:jc w:val="center"/>
            </w:pPr>
            <w:r>
              <w:rPr>
                <w:rFonts w:ascii="Times New Roman" w:hAnsi="Times New Roman" w:eastAsia="宋体" w:cs="Times New Roman"/>
                <w:b w:val="0"/>
                <w:i w:val="0"/>
                <w:color w:val="000000"/>
                <w:sz w:val="18"/>
                <w:szCs w:val="22"/>
              </w:rPr>
              <w:t>Members</w:t>
            </w:r>
          </w:p>
        </w:tc>
        <w:tc>
          <w:tcPr>
            <w:tcW w:w="1008" w:type="dxa"/>
            <w:shd w:val="clear" w:color="auto" w:fill="EAEEF7"/>
            <w:tcMar>
              <w:top w:w="100" w:type="dxa"/>
              <w:left w:w="120" w:type="dxa"/>
              <w:bottom w:w="100" w:type="dxa"/>
              <w:right w:w="120" w:type="dxa"/>
            </w:tcMar>
            <w:vAlign w:val="center"/>
          </w:tcPr>
          <w:p w14:paraId="303F03B7">
            <w:pPr>
              <w:spacing w:after="0" w:line="240" w:lineRule="auto"/>
              <w:jc w:val="center"/>
            </w:pPr>
            <w:r>
              <w:rPr>
                <w:rFonts w:ascii="Times New Roman" w:hAnsi="Times New Roman" w:eastAsia="宋体" w:cs="Times New Roman"/>
                <w:b w:val="0"/>
                <w:i w:val="0"/>
                <w:color w:val="000000"/>
                <w:sz w:val="18"/>
                <w:szCs w:val="22"/>
              </w:rPr>
              <w:t>No.</w:t>
            </w:r>
          </w:p>
        </w:tc>
      </w:tr>
      <w:tr w14:paraId="1CFA9541">
        <w:trPr>
          <w:cantSplit/>
        </w:trPr>
        <w:tc>
          <w:tcPr>
            <w:tcW w:w="3240" w:type="dxa"/>
            <w:tcMar>
              <w:top w:w="100" w:type="dxa"/>
              <w:left w:w="120" w:type="dxa"/>
              <w:bottom w:w="100" w:type="dxa"/>
              <w:right w:w="120" w:type="dxa"/>
            </w:tcMar>
            <w:vAlign w:val="center"/>
          </w:tcPr>
          <w:p w14:paraId="6C1AD204">
            <w:pPr>
              <w:spacing w:after="0" w:line="240" w:lineRule="auto"/>
            </w:pPr>
            <w:r>
              <w:rPr>
                <w:rFonts w:ascii="Times New Roman" w:hAnsi="Times New Roman" w:eastAsia="宋体"/>
                <w:b w:val="0"/>
                <w:i w:val="0"/>
                <w:color w:val="000000"/>
                <w:sz w:val="18"/>
              </w:rPr>
              <w:t>Overall coordinator / Leader</w:t>
            </w:r>
          </w:p>
        </w:tc>
        <w:tc>
          <w:tcPr>
            <w:tcW w:w="4968" w:type="dxa"/>
            <w:tcMar>
              <w:top w:w="100" w:type="dxa"/>
              <w:left w:w="120" w:type="dxa"/>
              <w:bottom w:w="100" w:type="dxa"/>
              <w:right w:w="120" w:type="dxa"/>
            </w:tcMar>
            <w:vAlign w:val="center"/>
          </w:tcPr>
          <w:p w14:paraId="64555A53">
            <w:pPr>
              <w:spacing w:after="0" w:line="240" w:lineRule="auto"/>
            </w:pPr>
            <w:r>
              <w:rPr>
                <w:rFonts w:ascii="Times New Roman" w:hAnsi="Times New Roman" w:eastAsia="宋体"/>
                <w:b w:val="0"/>
                <w:i w:val="0"/>
                <w:color w:val="000000"/>
                <w:sz w:val="18"/>
              </w:rPr>
              <w:t>Jinglin Nie</w:t>
            </w:r>
          </w:p>
        </w:tc>
        <w:tc>
          <w:tcPr>
            <w:tcW w:w="1008" w:type="dxa"/>
            <w:tcMar>
              <w:top w:w="100" w:type="dxa"/>
              <w:left w:w="120" w:type="dxa"/>
              <w:bottom w:w="100" w:type="dxa"/>
              <w:right w:w="120" w:type="dxa"/>
            </w:tcMar>
            <w:vAlign w:val="center"/>
          </w:tcPr>
          <w:p w14:paraId="713EF542">
            <w:pPr>
              <w:spacing w:after="0" w:line="240" w:lineRule="auto"/>
            </w:pPr>
            <w:r>
              <w:rPr>
                <w:rFonts w:ascii="Times New Roman" w:hAnsi="Times New Roman" w:eastAsia="宋体"/>
                <w:b w:val="0"/>
                <w:i w:val="0"/>
                <w:color w:val="000000"/>
                <w:sz w:val="18"/>
              </w:rPr>
              <w:t>1</w:t>
            </w:r>
          </w:p>
        </w:tc>
      </w:tr>
      <w:tr w14:paraId="65466AF3">
        <w:trPr>
          <w:cantSplit/>
        </w:trPr>
        <w:tc>
          <w:tcPr>
            <w:tcW w:w="3240" w:type="dxa"/>
            <w:tcMar>
              <w:top w:w="100" w:type="dxa"/>
              <w:left w:w="120" w:type="dxa"/>
              <w:bottom w:w="100" w:type="dxa"/>
              <w:right w:w="120" w:type="dxa"/>
            </w:tcMar>
            <w:vAlign w:val="center"/>
          </w:tcPr>
          <w:p w14:paraId="11B4D2D8">
            <w:pPr>
              <w:spacing w:after="0" w:line="240" w:lineRule="auto"/>
            </w:pPr>
            <w:r>
              <w:rPr>
                <w:rFonts w:ascii="Times New Roman" w:hAnsi="Times New Roman" w:eastAsia="宋体"/>
                <w:b w:val="0"/>
                <w:i w:val="0"/>
                <w:color w:val="000000"/>
                <w:sz w:val="18"/>
              </w:rPr>
              <w:t>Teaching &amp; technical safety</w:t>
            </w:r>
          </w:p>
        </w:tc>
        <w:tc>
          <w:tcPr>
            <w:tcW w:w="4968" w:type="dxa"/>
            <w:tcMar>
              <w:top w:w="100" w:type="dxa"/>
              <w:left w:w="120" w:type="dxa"/>
              <w:bottom w:w="100" w:type="dxa"/>
              <w:right w:w="120" w:type="dxa"/>
            </w:tcMar>
            <w:vAlign w:val="center"/>
          </w:tcPr>
          <w:p w14:paraId="54CA048A">
            <w:pPr>
              <w:spacing w:after="0" w:line="240" w:lineRule="auto"/>
              <w:rPr>
                <w:rFonts w:hint="eastAsia"/>
                <w:b w:val="0"/>
                <w:i w:val="0"/>
                <w:color w:val="000000"/>
                <w:sz w:val="18"/>
                <w:lang w:val="en-US" w:eastAsia="zh-CN"/>
              </w:rPr>
            </w:pPr>
            <w:r>
              <w:rPr>
                <w:rFonts w:hint="eastAsia"/>
                <w:b w:val="0"/>
                <w:i w:val="0"/>
                <w:color w:val="000000"/>
                <w:sz w:val="18"/>
                <w:lang w:val="en-US" w:eastAsia="zh-CN"/>
              </w:rPr>
              <w:t>Yong.Fang</w:t>
            </w:r>
          </w:p>
          <w:p w14:paraId="20C1E13D">
            <w:pPr>
              <w:spacing w:after="0" w:line="240" w:lineRule="auto"/>
              <w:rPr>
                <w:rFonts w:hint="default"/>
                <w:b w:val="0"/>
                <w:i w:val="0"/>
                <w:color w:val="000000"/>
                <w:sz w:val="18"/>
                <w:lang w:val="en-US" w:eastAsia="zh-CN"/>
              </w:rPr>
            </w:pPr>
            <w:r>
              <w:rPr>
                <w:rFonts w:hint="eastAsia"/>
                <w:b w:val="0"/>
                <w:i w:val="0"/>
                <w:color w:val="000000"/>
                <w:sz w:val="18"/>
                <w:lang w:val="en-US" w:eastAsia="zh-CN"/>
              </w:rPr>
              <w:t>Guanning.Jing</w:t>
            </w:r>
          </w:p>
        </w:tc>
        <w:tc>
          <w:tcPr>
            <w:tcW w:w="1008" w:type="dxa"/>
            <w:tcMar>
              <w:top w:w="100" w:type="dxa"/>
              <w:left w:w="120" w:type="dxa"/>
              <w:bottom w:w="100" w:type="dxa"/>
              <w:right w:w="120" w:type="dxa"/>
            </w:tcMar>
            <w:vAlign w:val="center"/>
          </w:tcPr>
          <w:p w14:paraId="52106591">
            <w:pPr>
              <w:spacing w:after="0" w:line="240" w:lineRule="auto"/>
              <w:rPr>
                <w:rFonts w:hint="eastAsia" w:eastAsia="宋体"/>
                <w:lang w:val="en-US" w:eastAsia="zh-CN"/>
              </w:rPr>
            </w:pPr>
            <w:r>
              <w:rPr>
                <w:rFonts w:hint="eastAsia"/>
                <w:b w:val="0"/>
                <w:i w:val="0"/>
                <w:color w:val="000000"/>
                <w:sz w:val="18"/>
                <w:lang w:val="en-US" w:eastAsia="zh-CN"/>
              </w:rPr>
              <w:t>2</w:t>
            </w:r>
          </w:p>
        </w:tc>
      </w:tr>
      <w:tr w14:paraId="6EF2A840">
        <w:trPr>
          <w:cantSplit/>
        </w:trPr>
        <w:tc>
          <w:tcPr>
            <w:tcW w:w="3240" w:type="dxa"/>
            <w:tcMar>
              <w:top w:w="100" w:type="dxa"/>
              <w:left w:w="120" w:type="dxa"/>
              <w:bottom w:w="100" w:type="dxa"/>
              <w:right w:w="120" w:type="dxa"/>
            </w:tcMar>
            <w:vAlign w:val="center"/>
          </w:tcPr>
          <w:p w14:paraId="57A18704">
            <w:pPr>
              <w:spacing w:after="0" w:line="240" w:lineRule="auto"/>
            </w:pPr>
            <w:r>
              <w:rPr>
                <w:rFonts w:ascii="Times New Roman" w:hAnsi="Times New Roman" w:eastAsia="宋体"/>
                <w:b w:val="0"/>
                <w:i w:val="0"/>
                <w:color w:val="000000"/>
                <w:sz w:val="18"/>
              </w:rPr>
              <w:t>Programme / hosting</w:t>
            </w:r>
          </w:p>
        </w:tc>
        <w:tc>
          <w:tcPr>
            <w:tcW w:w="4968" w:type="dxa"/>
            <w:tcMar>
              <w:top w:w="100" w:type="dxa"/>
              <w:left w:w="120" w:type="dxa"/>
              <w:bottom w:w="100" w:type="dxa"/>
              <w:right w:w="120" w:type="dxa"/>
            </w:tcMar>
            <w:vAlign w:val="center"/>
          </w:tcPr>
          <w:p w14:paraId="6E32B4A7">
            <w:pPr>
              <w:spacing w:after="0" w:line="240" w:lineRule="auto"/>
              <w:rPr>
                <w:rFonts w:hint="default" w:eastAsia="宋体"/>
                <w:lang w:val="en-US" w:eastAsia="zh-CN"/>
              </w:rPr>
            </w:pPr>
            <w:r>
              <w:rPr>
                <w:rFonts w:hint="eastAsia"/>
                <w:b w:val="0"/>
                <w:i w:val="0"/>
                <w:color w:val="000000"/>
                <w:sz w:val="18"/>
                <w:lang w:val="en-US" w:eastAsia="zh-CN"/>
              </w:rPr>
              <w:t>Jinglin.Nie</w:t>
            </w:r>
          </w:p>
        </w:tc>
        <w:tc>
          <w:tcPr>
            <w:tcW w:w="1008" w:type="dxa"/>
            <w:tcMar>
              <w:top w:w="100" w:type="dxa"/>
              <w:left w:w="120" w:type="dxa"/>
              <w:bottom w:w="100" w:type="dxa"/>
              <w:right w:w="120" w:type="dxa"/>
            </w:tcMar>
            <w:vAlign w:val="center"/>
          </w:tcPr>
          <w:p w14:paraId="7335380F">
            <w:pPr>
              <w:spacing w:after="0" w:line="240" w:lineRule="auto"/>
              <w:rPr>
                <w:rFonts w:hint="eastAsia" w:eastAsia="宋体"/>
                <w:lang w:val="en-US" w:eastAsia="zh-CN"/>
              </w:rPr>
            </w:pPr>
            <w:r>
              <w:rPr>
                <w:rFonts w:hint="eastAsia"/>
                <w:b w:val="0"/>
                <w:i w:val="0"/>
                <w:color w:val="000000"/>
                <w:sz w:val="18"/>
                <w:lang w:val="en-US" w:eastAsia="zh-CN"/>
              </w:rPr>
              <w:t>1</w:t>
            </w:r>
          </w:p>
        </w:tc>
      </w:tr>
      <w:tr w14:paraId="417CC13D">
        <w:trPr>
          <w:cantSplit/>
        </w:trPr>
        <w:tc>
          <w:tcPr>
            <w:tcW w:w="3240" w:type="dxa"/>
            <w:tcMar>
              <w:top w:w="100" w:type="dxa"/>
              <w:left w:w="120" w:type="dxa"/>
              <w:bottom w:w="100" w:type="dxa"/>
              <w:right w:w="120" w:type="dxa"/>
            </w:tcMar>
            <w:vAlign w:val="center"/>
          </w:tcPr>
          <w:p w14:paraId="59DB7297">
            <w:pPr>
              <w:spacing w:after="0" w:line="240" w:lineRule="auto"/>
            </w:pPr>
            <w:r>
              <w:rPr>
                <w:rFonts w:ascii="Times New Roman" w:hAnsi="Times New Roman" w:eastAsia="宋体"/>
                <w:b w:val="0"/>
                <w:i w:val="0"/>
                <w:color w:val="000000"/>
                <w:sz w:val="18"/>
              </w:rPr>
              <w:t>Venue / registration / logistics</w:t>
            </w:r>
          </w:p>
        </w:tc>
        <w:tc>
          <w:tcPr>
            <w:tcW w:w="4968" w:type="dxa"/>
            <w:tcMar>
              <w:top w:w="100" w:type="dxa"/>
              <w:left w:w="120" w:type="dxa"/>
              <w:bottom w:w="100" w:type="dxa"/>
              <w:right w:w="120" w:type="dxa"/>
            </w:tcMar>
            <w:vAlign w:val="center"/>
          </w:tcPr>
          <w:p w14:paraId="01A7131E">
            <w:pPr>
              <w:spacing w:after="0" w:line="240" w:lineRule="auto"/>
              <w:rPr>
                <w:rFonts w:hint="default" w:eastAsia="宋体"/>
                <w:lang w:val="en-US" w:eastAsia="zh-CN"/>
              </w:rPr>
            </w:pPr>
            <w:r>
              <w:rPr>
                <w:rFonts w:hint="eastAsia"/>
                <w:b w:val="0"/>
                <w:i w:val="0"/>
                <w:color w:val="000000"/>
                <w:sz w:val="18"/>
                <w:lang w:val="en-US" w:eastAsia="zh-CN"/>
              </w:rPr>
              <w:t>Jiahui.Ying</w:t>
            </w:r>
          </w:p>
        </w:tc>
        <w:tc>
          <w:tcPr>
            <w:tcW w:w="1008" w:type="dxa"/>
            <w:tcMar>
              <w:top w:w="100" w:type="dxa"/>
              <w:left w:w="120" w:type="dxa"/>
              <w:bottom w:w="100" w:type="dxa"/>
              <w:right w:w="120" w:type="dxa"/>
            </w:tcMar>
            <w:vAlign w:val="center"/>
          </w:tcPr>
          <w:p w14:paraId="4600F977">
            <w:pPr>
              <w:spacing w:after="0" w:line="240" w:lineRule="auto"/>
              <w:rPr>
                <w:rFonts w:hint="eastAsia" w:eastAsia="宋体"/>
                <w:lang w:val="en-US" w:eastAsia="zh-CN"/>
              </w:rPr>
            </w:pPr>
            <w:r>
              <w:rPr>
                <w:rFonts w:hint="eastAsia"/>
                <w:b w:val="0"/>
                <w:i w:val="0"/>
                <w:color w:val="000000"/>
                <w:sz w:val="18"/>
                <w:lang w:val="en-US" w:eastAsia="zh-CN"/>
              </w:rPr>
              <w:t>1</w:t>
            </w:r>
          </w:p>
        </w:tc>
      </w:tr>
      <w:tr w14:paraId="406318B1">
        <w:trPr>
          <w:cantSplit/>
        </w:trPr>
        <w:tc>
          <w:tcPr>
            <w:tcW w:w="3240" w:type="dxa"/>
            <w:tcMar>
              <w:top w:w="100" w:type="dxa"/>
              <w:left w:w="120" w:type="dxa"/>
              <w:bottom w:w="100" w:type="dxa"/>
              <w:right w:w="120" w:type="dxa"/>
            </w:tcMar>
            <w:vAlign w:val="center"/>
          </w:tcPr>
          <w:p w14:paraId="33D71719">
            <w:pPr>
              <w:spacing w:after="0" w:line="240" w:lineRule="auto"/>
            </w:pPr>
            <w:r>
              <w:rPr>
                <w:rFonts w:ascii="Times New Roman" w:hAnsi="Times New Roman" w:eastAsia="宋体"/>
                <w:b w:val="0"/>
                <w:i w:val="0"/>
                <w:color w:val="000000"/>
                <w:sz w:val="18"/>
              </w:rPr>
              <w:t>Finance / reimbursement</w:t>
            </w:r>
          </w:p>
        </w:tc>
        <w:tc>
          <w:tcPr>
            <w:tcW w:w="4968" w:type="dxa"/>
            <w:tcMar>
              <w:top w:w="100" w:type="dxa"/>
              <w:left w:w="120" w:type="dxa"/>
              <w:bottom w:w="100" w:type="dxa"/>
              <w:right w:w="120" w:type="dxa"/>
            </w:tcMar>
            <w:vAlign w:val="center"/>
          </w:tcPr>
          <w:p w14:paraId="2FEF3996">
            <w:pPr>
              <w:spacing w:after="0" w:line="240" w:lineRule="auto"/>
              <w:rPr>
                <w:rFonts w:hint="default" w:eastAsia="宋体"/>
                <w:lang w:val="en-US" w:eastAsia="zh-CN"/>
              </w:rPr>
            </w:pPr>
            <w:r>
              <w:rPr>
                <w:rFonts w:hint="eastAsia"/>
                <w:b w:val="0"/>
                <w:i w:val="0"/>
                <w:color w:val="000000"/>
                <w:sz w:val="18"/>
                <w:lang w:val="en-US" w:eastAsia="zh-CN"/>
              </w:rPr>
              <w:t>Yan.Zhang</w:t>
            </w:r>
          </w:p>
        </w:tc>
        <w:tc>
          <w:tcPr>
            <w:tcW w:w="1008" w:type="dxa"/>
            <w:tcMar>
              <w:top w:w="100" w:type="dxa"/>
              <w:left w:w="120" w:type="dxa"/>
              <w:bottom w:w="100" w:type="dxa"/>
              <w:right w:w="120" w:type="dxa"/>
            </w:tcMar>
            <w:vAlign w:val="center"/>
          </w:tcPr>
          <w:p w14:paraId="4E34A6CE">
            <w:pPr>
              <w:spacing w:after="0" w:line="240" w:lineRule="auto"/>
            </w:pPr>
            <w:r>
              <w:rPr>
                <w:rFonts w:ascii="Times New Roman" w:hAnsi="Times New Roman" w:eastAsia="宋体"/>
                <w:b w:val="0"/>
                <w:i w:val="0"/>
                <w:color w:val="000000"/>
                <w:sz w:val="18"/>
              </w:rPr>
              <w:t>1</w:t>
            </w:r>
          </w:p>
        </w:tc>
      </w:tr>
      <w:tr w14:paraId="7F5D662C">
        <w:trPr>
          <w:cantSplit/>
        </w:trPr>
        <w:tc>
          <w:tcPr>
            <w:tcW w:w="3240" w:type="dxa"/>
            <w:tcMar>
              <w:top w:w="100" w:type="dxa"/>
              <w:left w:w="120" w:type="dxa"/>
              <w:bottom w:w="100" w:type="dxa"/>
              <w:right w:w="120" w:type="dxa"/>
            </w:tcMar>
            <w:vAlign w:val="center"/>
          </w:tcPr>
          <w:p w14:paraId="052803D2">
            <w:pPr>
              <w:spacing w:after="0" w:line="240" w:lineRule="auto"/>
            </w:pPr>
            <w:r>
              <w:rPr>
                <w:rFonts w:ascii="Times New Roman" w:hAnsi="Times New Roman" w:eastAsia="宋体"/>
                <w:b w:val="0"/>
                <w:i w:val="0"/>
                <w:color w:val="000000"/>
                <w:sz w:val="18"/>
              </w:rPr>
              <w:t>Publicity / photography / follow-up</w:t>
            </w:r>
          </w:p>
        </w:tc>
        <w:tc>
          <w:tcPr>
            <w:tcW w:w="4968" w:type="dxa"/>
            <w:tcMar>
              <w:top w:w="100" w:type="dxa"/>
              <w:left w:w="120" w:type="dxa"/>
              <w:bottom w:w="100" w:type="dxa"/>
              <w:right w:w="120" w:type="dxa"/>
            </w:tcMar>
            <w:vAlign w:val="center"/>
          </w:tcPr>
          <w:p w14:paraId="089ED85A">
            <w:pPr>
              <w:spacing w:after="0" w:line="240" w:lineRule="auto"/>
              <w:rPr>
                <w:rFonts w:hint="default" w:eastAsia="宋体"/>
                <w:lang w:val="en-US" w:eastAsia="zh-CN"/>
              </w:rPr>
            </w:pPr>
            <w:r>
              <w:rPr>
                <w:rFonts w:hint="eastAsia"/>
                <w:b w:val="0"/>
                <w:i w:val="0"/>
                <w:color w:val="000000"/>
                <w:sz w:val="18"/>
                <w:lang w:val="en-US" w:eastAsia="zh-CN"/>
              </w:rPr>
              <w:t>Yuner.Wu</w:t>
            </w:r>
          </w:p>
        </w:tc>
        <w:tc>
          <w:tcPr>
            <w:tcW w:w="1008" w:type="dxa"/>
            <w:tcMar>
              <w:top w:w="100" w:type="dxa"/>
              <w:left w:w="120" w:type="dxa"/>
              <w:bottom w:w="100" w:type="dxa"/>
              <w:right w:w="120" w:type="dxa"/>
            </w:tcMar>
            <w:vAlign w:val="center"/>
          </w:tcPr>
          <w:p w14:paraId="63C2136C">
            <w:pPr>
              <w:spacing w:after="0" w:line="240" w:lineRule="auto"/>
              <w:rPr>
                <w:rFonts w:hint="eastAsia" w:eastAsia="宋体"/>
                <w:lang w:val="en-US" w:eastAsia="zh-CN"/>
              </w:rPr>
            </w:pPr>
            <w:r>
              <w:rPr>
                <w:rFonts w:hint="eastAsia"/>
                <w:b w:val="0"/>
                <w:i w:val="0"/>
                <w:color w:val="000000"/>
                <w:sz w:val="18"/>
                <w:lang w:val="en-US" w:eastAsia="zh-CN"/>
              </w:rPr>
              <w:t>1</w:t>
            </w:r>
          </w:p>
        </w:tc>
      </w:tr>
      <w:tr w14:paraId="7CA6B880">
        <w:trPr>
          <w:cantSplit/>
        </w:trPr>
        <w:tc>
          <w:tcPr>
            <w:tcW w:w="3240" w:type="dxa"/>
            <w:tcMar>
              <w:top w:w="100" w:type="dxa"/>
              <w:left w:w="120" w:type="dxa"/>
              <w:bottom w:w="100" w:type="dxa"/>
              <w:right w:w="120" w:type="dxa"/>
            </w:tcMar>
            <w:vAlign w:val="center"/>
          </w:tcPr>
          <w:p w14:paraId="12B2E87C">
            <w:pPr>
              <w:spacing w:after="0" w:line="240" w:lineRule="auto"/>
            </w:pPr>
            <w:r>
              <w:rPr>
                <w:rFonts w:ascii="Times New Roman" w:hAnsi="Times New Roman" w:eastAsia="宋体"/>
                <w:b w:val="0"/>
                <w:i w:val="0"/>
                <w:color w:val="000000"/>
                <w:sz w:val="18"/>
              </w:rPr>
              <w:t>External liaison</w:t>
            </w:r>
          </w:p>
        </w:tc>
        <w:tc>
          <w:tcPr>
            <w:tcW w:w="4968" w:type="dxa"/>
            <w:tcMar>
              <w:top w:w="100" w:type="dxa"/>
              <w:left w:w="120" w:type="dxa"/>
              <w:bottom w:w="100" w:type="dxa"/>
              <w:right w:w="120" w:type="dxa"/>
            </w:tcMar>
            <w:vAlign w:val="center"/>
          </w:tcPr>
          <w:p w14:paraId="4AA62C5C">
            <w:pPr>
              <w:spacing w:after="0" w:line="240" w:lineRule="auto"/>
              <w:rPr>
                <w:rFonts w:hint="default" w:eastAsia="宋体"/>
                <w:lang w:val="en-US" w:eastAsia="zh-CN"/>
              </w:rPr>
            </w:pPr>
            <w:r>
              <w:rPr>
                <w:rFonts w:hint="eastAsia"/>
                <w:b w:val="0"/>
                <w:i w:val="0"/>
                <w:color w:val="000000"/>
                <w:sz w:val="18"/>
                <w:lang w:val="en-US" w:eastAsia="zh-CN"/>
              </w:rPr>
              <w:t>Yike.Liu</w:t>
            </w:r>
          </w:p>
        </w:tc>
        <w:tc>
          <w:tcPr>
            <w:tcW w:w="1008" w:type="dxa"/>
            <w:tcMar>
              <w:top w:w="100" w:type="dxa"/>
              <w:left w:w="120" w:type="dxa"/>
              <w:bottom w:w="100" w:type="dxa"/>
              <w:right w:w="120" w:type="dxa"/>
            </w:tcMar>
            <w:vAlign w:val="center"/>
          </w:tcPr>
          <w:p w14:paraId="13FE9530">
            <w:pPr>
              <w:spacing w:after="0" w:line="240" w:lineRule="auto"/>
              <w:rPr>
                <w:rFonts w:hint="eastAsia" w:eastAsia="宋体"/>
                <w:lang w:val="en-US" w:eastAsia="zh-CN"/>
              </w:rPr>
            </w:pPr>
            <w:r>
              <w:rPr>
                <w:rFonts w:hint="eastAsia"/>
                <w:b w:val="0"/>
                <w:i w:val="0"/>
                <w:color w:val="000000"/>
                <w:sz w:val="18"/>
                <w:lang w:val="en-US" w:eastAsia="zh-CN"/>
              </w:rPr>
              <w:t>1</w:t>
            </w:r>
          </w:p>
        </w:tc>
      </w:tr>
      <w:tr w14:paraId="4BF960CD">
        <w:trPr>
          <w:cantSplit/>
        </w:trPr>
        <w:tc>
          <w:tcPr>
            <w:tcW w:w="3240" w:type="dxa"/>
            <w:tcMar>
              <w:top w:w="100" w:type="dxa"/>
              <w:left w:w="120" w:type="dxa"/>
              <w:bottom w:w="100" w:type="dxa"/>
              <w:right w:w="120" w:type="dxa"/>
            </w:tcMar>
            <w:vAlign w:val="center"/>
          </w:tcPr>
          <w:p w14:paraId="7AF90297">
            <w:pPr>
              <w:spacing w:after="0" w:line="240" w:lineRule="auto"/>
            </w:pPr>
            <w:r>
              <w:rPr>
                <w:rFonts w:ascii="Times New Roman" w:hAnsi="Times New Roman" w:eastAsia="宋体"/>
                <w:b w:val="0"/>
                <w:i w:val="0"/>
                <w:color w:val="000000"/>
                <w:sz w:val="18"/>
              </w:rPr>
              <w:t>Order / emergency coordination</w:t>
            </w:r>
          </w:p>
        </w:tc>
        <w:tc>
          <w:tcPr>
            <w:tcW w:w="4968" w:type="dxa"/>
            <w:tcMar>
              <w:top w:w="100" w:type="dxa"/>
              <w:left w:w="120" w:type="dxa"/>
              <w:bottom w:w="100" w:type="dxa"/>
              <w:right w:w="120" w:type="dxa"/>
            </w:tcMar>
            <w:vAlign w:val="center"/>
          </w:tcPr>
          <w:p w14:paraId="0432543B">
            <w:pPr>
              <w:spacing w:after="0" w:line="240" w:lineRule="auto"/>
              <w:rPr>
                <w:rFonts w:hint="eastAsia"/>
                <w:b w:val="0"/>
                <w:i w:val="0"/>
                <w:color w:val="000000"/>
                <w:sz w:val="18"/>
                <w:lang w:val="en-US" w:eastAsia="zh-CN"/>
              </w:rPr>
            </w:pPr>
            <w:r>
              <w:rPr>
                <w:rFonts w:hint="eastAsia"/>
                <w:b w:val="0"/>
                <w:i w:val="0"/>
                <w:color w:val="000000"/>
                <w:sz w:val="18"/>
                <w:lang w:val="en-US" w:eastAsia="zh-CN"/>
              </w:rPr>
              <w:t>Jinglin.Nie</w:t>
            </w:r>
          </w:p>
          <w:p w14:paraId="4B57A543">
            <w:pPr>
              <w:spacing w:after="0" w:line="240" w:lineRule="auto"/>
              <w:rPr>
                <w:rFonts w:hint="default"/>
                <w:b w:val="0"/>
                <w:i w:val="0"/>
                <w:color w:val="000000"/>
                <w:sz w:val="18"/>
                <w:lang w:val="en-US" w:eastAsia="zh-CN"/>
              </w:rPr>
            </w:pPr>
            <w:r>
              <w:rPr>
                <w:rFonts w:hint="eastAsia"/>
                <w:b w:val="0"/>
                <w:i w:val="0"/>
                <w:color w:val="000000"/>
                <w:sz w:val="18"/>
                <w:lang w:val="en-US" w:eastAsia="zh-CN"/>
              </w:rPr>
              <w:t>Guanning.Jing</w:t>
            </w:r>
          </w:p>
        </w:tc>
        <w:tc>
          <w:tcPr>
            <w:tcW w:w="1008" w:type="dxa"/>
            <w:tcMar>
              <w:top w:w="100" w:type="dxa"/>
              <w:left w:w="120" w:type="dxa"/>
              <w:bottom w:w="100" w:type="dxa"/>
              <w:right w:w="120" w:type="dxa"/>
            </w:tcMar>
            <w:vAlign w:val="center"/>
          </w:tcPr>
          <w:p w14:paraId="4FCF7347">
            <w:pPr>
              <w:spacing w:after="0" w:line="240" w:lineRule="auto"/>
              <w:rPr>
                <w:rFonts w:hint="default" w:eastAsia="宋体"/>
                <w:lang w:val="en-US" w:eastAsia="zh-CN"/>
              </w:rPr>
            </w:pPr>
            <w:r>
              <w:rPr>
                <w:rFonts w:hint="eastAsia"/>
                <w:b w:val="0"/>
                <w:i w:val="0"/>
                <w:color w:val="000000"/>
                <w:sz w:val="18"/>
                <w:lang w:val="en-US" w:eastAsia="zh-CN"/>
              </w:rPr>
              <w:t>2</w:t>
            </w:r>
          </w:p>
        </w:tc>
      </w:tr>
    </w:tbl>
    <w:p w14:paraId="0EA71CEC">
      <w:pPr>
        <w:spacing w:before="100" w:line="324" w:lineRule="auto"/>
      </w:pPr>
      <w:r>
        <w:rPr>
          <w:rFonts w:ascii="Times New Roman" w:hAnsi="Times New Roman" w:eastAsia="宋体"/>
          <w:b w:val="0"/>
          <w:i w:val="0"/>
          <w:color w:val="595959"/>
          <w:sz w:val="21"/>
        </w:rPr>
        <w:t>Note: the event follows the chain “Activity Leader → Department Heads → Management Members → Members assigned as needed”. The activity leader handles cross-department coordination and final decisions; department heads allocate and review work; management members drive specific modules; general members take on clearly scoped execution tasks. Finance is handled by the designated Organisation Department finance lead.</w:t>
      </w:r>
    </w:p>
    <w:p w14:paraId="7F51F90C">
      <w:pPr>
        <w:pStyle w:val="2"/>
        <w:keepNext/>
        <w:pBdr>
          <w:bottom w:val="single" w:color="1B2A6B" w:sz="6" w:space="4"/>
        </w:pBdr>
        <w:spacing w:before="360" w:after="200"/>
      </w:pPr>
      <w:r>
        <w:rPr>
          <w:rFonts w:ascii="Times New Roman" w:hAnsi="Times New Roman" w:eastAsia="微软雅黑"/>
          <w:b/>
          <w:i w:val="0"/>
          <w:color w:val="1B2A6B"/>
          <w:sz w:val="30"/>
        </w:rPr>
        <w:t>8. Budget</w:t>
      </w:r>
    </w:p>
    <w:p w14:paraId="0345219A">
      <w:pPr>
        <w:spacing w:line="360" w:lineRule="auto"/>
        <w:ind w:firstLine="480"/>
      </w:pPr>
      <w:r>
        <w:rPr>
          <w:rFonts w:ascii="Times New Roman" w:hAnsi="Times New Roman"/>
          <w:sz w:val="24"/>
        </w:rPr>
        <w:t>Funding approval note: The activity budget must follow the departmental funding approval process through the Self-Management Course Group, Chinese Culture Teaching Centre. All expenditure is subject to final departmental approval; purchases or payments may only be made after approval, with required budget, invoice and payment records retained.</w:t>
      </w:r>
    </w:p>
    <w:tbl>
      <w:tblPr>
        <w:tblStyle w:val="11"/>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4968"/>
        <w:gridCol w:w="1800"/>
        <w:gridCol w:w="2592"/>
      </w:tblGrid>
      <w:tr w14:paraId="092BF0B6">
        <w:trPr>
          <w:cantSplit/>
          <w:tblHeader/>
          <w:jc w:val="center"/>
        </w:trPr>
        <w:tc>
          <w:tcPr>
            <w:tcW w:w="4968" w:type="dxa"/>
            <w:shd w:val="clear" w:color="auto" w:fill="EAEEF7"/>
            <w:tcMar>
              <w:top w:w="100" w:type="dxa"/>
              <w:left w:w="120" w:type="dxa"/>
              <w:bottom w:w="100" w:type="dxa"/>
              <w:right w:w="120" w:type="dxa"/>
            </w:tcMar>
            <w:vAlign w:val="center"/>
          </w:tcPr>
          <w:p w14:paraId="16FA1975">
            <w:pPr>
              <w:spacing w:after="0" w:line="240" w:lineRule="auto"/>
              <w:jc w:val="center"/>
            </w:pPr>
            <w:r>
              <w:rPr>
                <w:rFonts w:ascii="Times New Roman" w:hAnsi="Times New Roman" w:eastAsia="宋体" w:cs="Times New Roman"/>
                <w:b w:val="0"/>
                <w:i w:val="0"/>
                <w:color w:val="000000"/>
                <w:sz w:val="18"/>
                <w:szCs w:val="22"/>
              </w:rPr>
              <w:t>Item</w:t>
            </w:r>
          </w:p>
        </w:tc>
        <w:tc>
          <w:tcPr>
            <w:tcW w:w="1800" w:type="dxa"/>
            <w:shd w:val="clear" w:color="auto" w:fill="EAEEF7"/>
            <w:tcMar>
              <w:top w:w="100" w:type="dxa"/>
              <w:left w:w="120" w:type="dxa"/>
              <w:bottom w:w="100" w:type="dxa"/>
              <w:right w:w="120" w:type="dxa"/>
            </w:tcMar>
            <w:vAlign w:val="center"/>
          </w:tcPr>
          <w:p w14:paraId="2F805941">
            <w:pPr>
              <w:spacing w:after="0" w:line="240" w:lineRule="auto"/>
              <w:jc w:val="center"/>
            </w:pPr>
            <w:r>
              <w:rPr>
                <w:rFonts w:ascii="Times New Roman" w:hAnsi="Times New Roman" w:eastAsia="宋体" w:cs="Times New Roman"/>
                <w:b w:val="0"/>
                <w:i w:val="0"/>
                <w:color w:val="000000"/>
                <w:sz w:val="18"/>
                <w:szCs w:val="22"/>
              </w:rPr>
              <w:t>Amount (RMB)</w:t>
            </w:r>
          </w:p>
        </w:tc>
        <w:tc>
          <w:tcPr>
            <w:tcW w:w="2592" w:type="dxa"/>
            <w:shd w:val="clear" w:color="auto" w:fill="EAEEF7"/>
            <w:tcMar>
              <w:top w:w="100" w:type="dxa"/>
              <w:left w:w="120" w:type="dxa"/>
              <w:bottom w:w="100" w:type="dxa"/>
              <w:right w:w="120" w:type="dxa"/>
            </w:tcMar>
            <w:vAlign w:val="center"/>
          </w:tcPr>
          <w:p w14:paraId="3B9164B2">
            <w:pPr>
              <w:spacing w:after="0" w:line="240" w:lineRule="auto"/>
              <w:jc w:val="center"/>
            </w:pPr>
            <w:r>
              <w:rPr>
                <w:rFonts w:ascii="Times New Roman" w:hAnsi="Times New Roman" w:eastAsia="宋体" w:cs="Times New Roman"/>
                <w:b w:val="0"/>
                <w:i w:val="0"/>
                <w:color w:val="000000"/>
                <w:sz w:val="19"/>
                <w:szCs w:val="22"/>
              </w:rPr>
              <w:t>Note</w:t>
            </w:r>
          </w:p>
        </w:tc>
      </w:tr>
      <w:tr w14:paraId="18AA540A">
        <w:trPr>
          <w:cantSplit/>
          <w:jc w:val="center"/>
        </w:trPr>
        <w:tc>
          <w:tcPr>
            <w:tcW w:w="4968" w:type="dxa"/>
            <w:tcMar>
              <w:top w:w="100" w:type="dxa"/>
              <w:left w:w="120" w:type="dxa"/>
              <w:bottom w:w="100" w:type="dxa"/>
              <w:right w:w="120" w:type="dxa"/>
            </w:tcMar>
            <w:vAlign w:val="center"/>
          </w:tcPr>
          <w:p w14:paraId="3F4F7367">
            <w:pPr>
              <w:spacing w:after="0" w:line="240" w:lineRule="auto"/>
            </w:pPr>
            <w:r>
              <w:rPr>
                <w:rFonts w:ascii="Times New Roman" w:hAnsi="Times New Roman" w:eastAsia="宋体"/>
                <w:b w:val="0"/>
                <w:i w:val="0"/>
                <w:color w:val="000000"/>
                <w:sz w:val="18"/>
              </w:rPr>
              <w:t>Safety consumables, basic refreshments and contingency</w:t>
            </w:r>
          </w:p>
        </w:tc>
        <w:tc>
          <w:tcPr>
            <w:tcW w:w="1800" w:type="dxa"/>
            <w:tcMar>
              <w:top w:w="100" w:type="dxa"/>
              <w:left w:w="120" w:type="dxa"/>
              <w:bottom w:w="100" w:type="dxa"/>
              <w:right w:w="120" w:type="dxa"/>
            </w:tcMar>
            <w:vAlign w:val="center"/>
          </w:tcPr>
          <w:p w14:paraId="638D02A3">
            <w:pPr>
              <w:spacing w:after="0" w:line="240" w:lineRule="auto"/>
            </w:pPr>
            <w:r>
              <w:rPr>
                <w:rFonts w:ascii="Times New Roman" w:hAnsi="Times New Roman" w:eastAsia="宋体"/>
                <w:b w:val="0"/>
                <w:i w:val="0"/>
                <w:color w:val="000000"/>
                <w:sz w:val="18"/>
              </w:rPr>
              <w:t>100-200</w:t>
            </w:r>
          </w:p>
        </w:tc>
        <w:tc>
          <w:tcPr>
            <w:tcW w:w="2592" w:type="dxa"/>
            <w:tcMar>
              <w:top w:w="100" w:type="dxa"/>
              <w:left w:w="120" w:type="dxa"/>
              <w:bottom w:w="100" w:type="dxa"/>
              <w:right w:w="120" w:type="dxa"/>
            </w:tcMar>
            <w:vAlign w:val="center"/>
          </w:tcPr>
          <w:p w14:paraId="57A40AA4">
            <w:pPr>
              <w:spacing w:after="0" w:line="240" w:lineRule="auto"/>
            </w:pPr>
            <w:r>
              <w:rPr>
                <w:rFonts w:ascii="Times New Roman" w:hAnsi="Times New Roman" w:eastAsia="宋体"/>
                <w:sz w:val="19"/>
              </w:rPr>
              <w:t>Cold packs, disinfecting supplies, water and necessary approved expenses.</w:t>
            </w:r>
          </w:p>
        </w:tc>
      </w:tr>
      <w:tr w14:paraId="2AE55FA7">
        <w:trPr>
          <w:cantSplit/>
          <w:jc w:val="center"/>
        </w:trPr>
        <w:tc>
          <w:tcPr>
            <w:tcW w:w="4968" w:type="dxa"/>
            <w:tcMar>
              <w:top w:w="100" w:type="dxa"/>
              <w:left w:w="120" w:type="dxa"/>
              <w:bottom w:w="100" w:type="dxa"/>
              <w:right w:w="120" w:type="dxa"/>
            </w:tcMar>
            <w:vAlign w:val="center"/>
          </w:tcPr>
          <w:p w14:paraId="16B2D1FF">
            <w:pPr>
              <w:spacing w:after="0" w:line="240" w:lineRule="auto"/>
            </w:pPr>
            <w:r>
              <w:rPr>
                <w:rFonts w:ascii="Times New Roman" w:hAnsi="Times New Roman" w:eastAsia="宋体"/>
                <w:b w:val="0"/>
                <w:i w:val="0"/>
                <w:color w:val="000000"/>
                <w:sz w:val="18"/>
              </w:rPr>
              <w:t>Publicity / printing</w:t>
            </w:r>
          </w:p>
        </w:tc>
        <w:tc>
          <w:tcPr>
            <w:tcW w:w="1800" w:type="dxa"/>
            <w:tcMar>
              <w:top w:w="100" w:type="dxa"/>
              <w:left w:w="120" w:type="dxa"/>
              <w:bottom w:w="100" w:type="dxa"/>
              <w:right w:w="120" w:type="dxa"/>
            </w:tcMar>
            <w:vAlign w:val="center"/>
          </w:tcPr>
          <w:p w14:paraId="0374B8E9">
            <w:pPr>
              <w:spacing w:after="0" w:line="240" w:lineRule="auto"/>
            </w:pPr>
            <w:r>
              <w:rPr>
                <w:rFonts w:ascii="Times New Roman" w:hAnsi="Times New Roman" w:eastAsia="宋体"/>
                <w:b w:val="0"/>
                <w:i w:val="0"/>
                <w:color w:val="000000"/>
                <w:sz w:val="18"/>
              </w:rPr>
              <w:t>0-50</w:t>
            </w:r>
          </w:p>
        </w:tc>
        <w:tc>
          <w:tcPr>
            <w:tcW w:w="2592" w:type="dxa"/>
            <w:tcMar>
              <w:top w:w="100" w:type="dxa"/>
              <w:left w:w="120" w:type="dxa"/>
              <w:bottom w:w="100" w:type="dxa"/>
              <w:right w:w="120" w:type="dxa"/>
            </w:tcMar>
            <w:vAlign w:val="center"/>
          </w:tcPr>
          <w:p w14:paraId="1F320B19">
            <w:pPr>
              <w:spacing w:after="0" w:line="240" w:lineRule="auto"/>
            </w:pPr>
            <w:r>
              <w:rPr>
                <w:rFonts w:ascii="Times New Roman" w:hAnsi="Times New Roman" w:eastAsia="宋体"/>
                <w:sz w:val="19"/>
              </w:rPr>
              <w:t>Online publicity preferred; print only if needed.</w:t>
            </w:r>
          </w:p>
        </w:tc>
      </w:tr>
      <w:tr w14:paraId="03D1C5FA">
        <w:trPr>
          <w:cantSplit/>
          <w:jc w:val="center"/>
        </w:trPr>
        <w:tc>
          <w:tcPr>
            <w:tcW w:w="4968" w:type="dxa"/>
            <w:tcMar>
              <w:top w:w="100" w:type="dxa"/>
              <w:left w:w="120" w:type="dxa"/>
              <w:bottom w:w="100" w:type="dxa"/>
              <w:right w:w="120" w:type="dxa"/>
            </w:tcMar>
            <w:vAlign w:val="center"/>
          </w:tcPr>
          <w:p w14:paraId="342ECE76">
            <w:pPr>
              <w:spacing w:after="0" w:line="240" w:lineRule="auto"/>
            </w:pPr>
            <w:r>
              <w:rPr>
                <w:rFonts w:ascii="Times New Roman" w:hAnsi="Times New Roman" w:eastAsia="宋体"/>
                <w:b w:val="0"/>
                <w:i w:val="0"/>
                <w:color w:val="000000"/>
                <w:sz w:val="18"/>
              </w:rPr>
              <w:t>Training equipment</w:t>
            </w:r>
          </w:p>
        </w:tc>
        <w:tc>
          <w:tcPr>
            <w:tcW w:w="1800" w:type="dxa"/>
            <w:tcMar>
              <w:top w:w="100" w:type="dxa"/>
              <w:left w:w="120" w:type="dxa"/>
              <w:bottom w:w="100" w:type="dxa"/>
              <w:right w:w="120" w:type="dxa"/>
            </w:tcMar>
            <w:vAlign w:val="center"/>
          </w:tcPr>
          <w:p w14:paraId="7F906C23">
            <w:pPr>
              <w:spacing w:after="0" w:line="240" w:lineRule="auto"/>
            </w:pPr>
            <w:r>
              <w:rPr>
                <w:rFonts w:ascii="Times New Roman" w:hAnsi="Times New Roman" w:eastAsia="宋体"/>
                <w:b w:val="0"/>
                <w:i w:val="0"/>
                <w:color w:val="000000"/>
                <w:sz w:val="18"/>
              </w:rPr>
              <w:t>0</w:t>
            </w:r>
          </w:p>
        </w:tc>
        <w:tc>
          <w:tcPr>
            <w:tcW w:w="2592" w:type="dxa"/>
            <w:tcMar>
              <w:top w:w="100" w:type="dxa"/>
              <w:left w:w="120" w:type="dxa"/>
              <w:bottom w:w="100" w:type="dxa"/>
              <w:right w:w="120" w:type="dxa"/>
            </w:tcMar>
            <w:vAlign w:val="center"/>
          </w:tcPr>
          <w:p w14:paraId="0D4B517F">
            <w:pPr>
              <w:spacing w:after="0" w:line="240" w:lineRule="auto"/>
            </w:pPr>
            <w:r>
              <w:rPr>
                <w:rFonts w:ascii="Times New Roman" w:hAnsi="Times New Roman" w:eastAsia="宋体"/>
                <w:sz w:val="19"/>
              </w:rPr>
              <w:t>Venue mats; gloves/pads provided by 综合格斗社.</w:t>
            </w:r>
          </w:p>
        </w:tc>
      </w:tr>
      <w:tr w14:paraId="0FB966D1">
        <w:trPr>
          <w:cantSplit/>
          <w:jc w:val="center"/>
        </w:trPr>
        <w:tc>
          <w:tcPr>
            <w:tcW w:w="4968" w:type="dxa"/>
            <w:shd w:val="clear" w:color="auto" w:fill="EAEEF7"/>
            <w:tcMar>
              <w:top w:w="100" w:type="dxa"/>
              <w:left w:w="120" w:type="dxa"/>
              <w:bottom w:w="100" w:type="dxa"/>
              <w:right w:w="120" w:type="dxa"/>
            </w:tcMar>
            <w:vAlign w:val="center"/>
          </w:tcPr>
          <w:p w14:paraId="277A6F7D">
            <w:pPr>
              <w:spacing w:after="0" w:line="240" w:lineRule="auto"/>
            </w:pPr>
            <w:r>
              <w:rPr>
                <w:rFonts w:ascii="Times New Roman" w:hAnsi="Times New Roman" w:eastAsia="宋体"/>
                <w:b w:val="0"/>
                <w:i w:val="0"/>
                <w:color w:val="000000"/>
                <w:sz w:val="18"/>
              </w:rPr>
              <w:t>Total</w:t>
            </w:r>
          </w:p>
        </w:tc>
        <w:tc>
          <w:tcPr>
            <w:tcW w:w="1800" w:type="dxa"/>
            <w:shd w:val="clear" w:color="auto" w:fill="EAEEF7"/>
            <w:tcMar>
              <w:top w:w="100" w:type="dxa"/>
              <w:left w:w="120" w:type="dxa"/>
              <w:bottom w:w="100" w:type="dxa"/>
              <w:right w:w="120" w:type="dxa"/>
            </w:tcMar>
            <w:vAlign w:val="center"/>
          </w:tcPr>
          <w:p w14:paraId="3DF6BA02">
            <w:pPr>
              <w:spacing w:after="0" w:line="240" w:lineRule="auto"/>
              <w:rPr>
                <w:rFonts w:hint="default" w:eastAsia="宋体"/>
                <w:lang w:val="en-US" w:eastAsia="zh-CN"/>
              </w:rPr>
            </w:pPr>
            <w:r>
              <w:rPr>
                <w:rFonts w:ascii="Times New Roman" w:hAnsi="Times New Roman" w:eastAsia="宋体"/>
                <w:b w:val="0"/>
                <w:i w:val="0"/>
                <w:color w:val="000000"/>
                <w:sz w:val="18"/>
              </w:rPr>
              <w:t xml:space="preserve">Approx. </w:t>
            </w:r>
            <w:r>
              <w:rPr>
                <w:rFonts w:hint="eastAsia"/>
                <w:b w:val="0"/>
                <w:i w:val="0"/>
                <w:color w:val="000000"/>
                <w:sz w:val="18"/>
                <w:lang w:val="en-US" w:eastAsia="zh-CN"/>
              </w:rPr>
              <w:t>150</w:t>
            </w:r>
            <w:r>
              <w:rPr>
                <w:rFonts w:ascii="Times New Roman" w:hAnsi="Times New Roman" w:eastAsia="宋体"/>
                <w:b w:val="0"/>
                <w:i w:val="0"/>
                <w:color w:val="000000"/>
                <w:sz w:val="18"/>
              </w:rPr>
              <w:t>-</w:t>
            </w:r>
            <w:r>
              <w:rPr>
                <w:rFonts w:hint="eastAsia"/>
                <w:b w:val="0"/>
                <w:i w:val="0"/>
                <w:color w:val="000000"/>
                <w:sz w:val="18"/>
                <w:lang w:val="en-US" w:eastAsia="zh-CN"/>
              </w:rPr>
              <w:t>250</w:t>
            </w:r>
          </w:p>
        </w:tc>
        <w:tc>
          <w:tcPr>
            <w:tcW w:w="2592" w:type="dxa"/>
            <w:shd w:val="clear" w:color="auto" w:fill="EAEEF7"/>
            <w:tcMar>
              <w:top w:w="100" w:type="dxa"/>
              <w:left w:w="120" w:type="dxa"/>
              <w:bottom w:w="100" w:type="dxa"/>
              <w:right w:w="120" w:type="dxa"/>
            </w:tcMar>
            <w:vAlign w:val="center"/>
          </w:tcPr>
          <w:p w14:paraId="1F5E0162"/>
        </w:tc>
      </w:tr>
    </w:tbl>
    <w:p w14:paraId="1BD74D16">
      <w:pPr>
        <w:pStyle w:val="2"/>
        <w:keepNext/>
        <w:pBdr>
          <w:bottom w:val="single" w:color="1B2A6B" w:sz="6" w:space="4"/>
        </w:pBdr>
        <w:spacing w:before="360" w:after="200"/>
      </w:pPr>
      <w:r>
        <w:rPr>
          <w:rFonts w:ascii="Times New Roman" w:hAnsi="Times New Roman" w:eastAsia="微软雅黑"/>
          <w:b/>
          <w:i w:val="0"/>
          <w:color w:val="1B2A6B"/>
          <w:sz w:val="30"/>
        </w:rPr>
        <w:t>9. Emergency Plan</w:t>
      </w:r>
    </w:p>
    <w:p w14:paraId="045F8AA6">
      <w:pPr>
        <w:spacing w:after="140" w:line="324" w:lineRule="auto"/>
        <w:ind w:firstLine="475"/>
      </w:pPr>
      <w:r>
        <w:rPr>
          <w:rFonts w:ascii="Times New Roman" w:hAnsi="Times New Roman" w:eastAsia="宋体"/>
          <w:b/>
          <w:i w:val="0"/>
          <w:color w:val="000000"/>
          <w:sz w:val="24"/>
        </w:rPr>
        <w:t xml:space="preserve">1. Minor discomfort or injury: </w:t>
      </w:r>
      <w:r>
        <w:rPr>
          <w:rFonts w:ascii="Times New Roman" w:hAnsi="Times New Roman" w:eastAsia="宋体"/>
          <w:b w:val="0"/>
          <w:i w:val="0"/>
          <w:color w:val="000000"/>
          <w:sz w:val="24"/>
        </w:rPr>
        <w:t>stop the participant’s practice immediately, move them to a safe area, provide basic first aid/observation and use a cold pack if appropriate; contact campus medical support if needed.</w:t>
      </w:r>
    </w:p>
    <w:p w14:paraId="2528FB2E">
      <w:pPr>
        <w:spacing w:after="140" w:line="324" w:lineRule="auto"/>
        <w:ind w:firstLine="475"/>
      </w:pPr>
      <w:r>
        <w:rPr>
          <w:rFonts w:ascii="Times New Roman" w:hAnsi="Times New Roman" w:eastAsia="宋体"/>
          <w:b/>
          <w:i w:val="0"/>
          <w:color w:val="000000"/>
          <w:sz w:val="24"/>
        </w:rPr>
        <w:t xml:space="preserve">2. Serious injury or acute illness: </w:t>
      </w:r>
      <w:r>
        <w:rPr>
          <w:rFonts w:ascii="Times New Roman" w:hAnsi="Times New Roman" w:eastAsia="宋体"/>
          <w:b w:val="0"/>
          <w:i w:val="0"/>
          <w:color w:val="000000"/>
          <w:sz w:val="24"/>
        </w:rPr>
        <w:t>stop the relevant training area, maintain order, contact emergency/campus security services through the designated person and report the incident according to university procedures.</w:t>
      </w:r>
    </w:p>
    <w:p w14:paraId="43CDCCF8">
      <w:pPr>
        <w:spacing w:after="140" w:line="324" w:lineRule="auto"/>
        <w:ind w:firstLine="475"/>
      </w:pPr>
      <w:r>
        <w:rPr>
          <w:rFonts w:ascii="Times New Roman" w:hAnsi="Times New Roman" w:eastAsia="宋体"/>
          <w:b/>
          <w:i w:val="0"/>
          <w:color w:val="000000"/>
          <w:sz w:val="24"/>
        </w:rPr>
        <w:t xml:space="preserve">3. Venue, equipment or unsafe practice: </w:t>
      </w:r>
      <w:r>
        <w:rPr>
          <w:rFonts w:ascii="Times New Roman" w:hAnsi="Times New Roman" w:eastAsia="宋体"/>
          <w:b w:val="0"/>
          <w:i w:val="0"/>
          <w:color w:val="000000"/>
          <w:sz w:val="24"/>
        </w:rPr>
        <w:t>pause the relevant drill if mats shift, the floor becomes slippery, equipment is damaged or participants use excessive force. Cancel the drill if the risk cannot be removed promptly. Stop new entry if capacity becomes unsafe.</w:t>
      </w:r>
    </w:p>
    <w:p w14:paraId="7B1C2AA4">
      <w:pPr>
        <w:spacing w:after="140" w:line="324" w:lineRule="auto"/>
        <w:ind w:firstLine="475"/>
      </w:pPr>
      <w:r>
        <w:rPr>
          <w:rFonts w:ascii="Times New Roman" w:hAnsi="Times New Roman" w:eastAsia="宋体"/>
          <w:b/>
          <w:i w:val="0"/>
          <w:color w:val="000000"/>
          <w:sz w:val="24"/>
        </w:rPr>
        <w:t xml:space="preserve">4. Coach/personnel contingency: </w:t>
      </w:r>
      <w:r>
        <w:rPr>
          <w:rFonts w:ascii="Times New Roman" w:hAnsi="Times New Roman" w:eastAsia="宋体"/>
          <w:b w:val="0"/>
          <w:i w:val="0"/>
          <w:color w:val="000000"/>
          <w:sz w:val="24"/>
        </w:rPr>
        <w:t>if the coach cannot attend, do not replace the practical content with unapproved high-risk drills. The activity leader and 综合格斗社 will decide whether to postpone, convert to a safe educational/demonstration format, or cancel. Emotional discomfort or conflict will be handled by stopping practice and separating the risk first.</w:t>
      </w:r>
    </w:p>
    <w:p w14:paraId="082BCA80">
      <w:pPr>
        <w:pStyle w:val="2"/>
        <w:keepNext/>
        <w:pBdr>
          <w:bottom w:val="single" w:color="1B2A6B" w:sz="6" w:space="4"/>
        </w:pBdr>
        <w:spacing w:before="360" w:after="200"/>
      </w:pPr>
      <w:r>
        <w:rPr>
          <w:rFonts w:ascii="Times New Roman" w:hAnsi="Times New Roman" w:eastAsia="微软雅黑"/>
          <w:b/>
          <w:i w:val="0"/>
          <w:color w:val="1B2A6B"/>
          <w:sz w:val="30"/>
        </w:rPr>
        <w:t>10. Attachments</w:t>
      </w:r>
    </w:p>
    <w:p w14:paraId="466B7E58">
      <w:pPr>
        <w:spacing w:after="140" w:line="324" w:lineRule="auto"/>
        <w:ind w:firstLine="475"/>
      </w:pPr>
      <w:r>
        <w:rPr>
          <w:rFonts w:ascii="Times New Roman" w:hAnsi="Times New Roman" w:eastAsia="宋体"/>
          <w:b w:val="0"/>
          <w:i w:val="0"/>
          <w:color w:val="000000"/>
          <w:sz w:val="24"/>
        </w:rPr>
        <w:t>1. Activity Safety Agreement / Participant Guidelines</w:t>
      </w:r>
    </w:p>
    <w:p w14:paraId="716E0DA5">
      <w:pPr>
        <w:spacing w:after="140" w:line="324" w:lineRule="auto"/>
        <w:ind w:firstLine="475"/>
      </w:pPr>
      <w:r>
        <w:rPr>
          <w:rFonts w:ascii="Times New Roman" w:hAnsi="Times New Roman" w:eastAsia="宋体"/>
          <w:b w:val="0"/>
          <w:i w:val="0"/>
          <w:color w:val="000000"/>
          <w:sz w:val="24"/>
        </w:rPr>
        <w:t>2. Budget and Financial Records</w:t>
      </w:r>
    </w:p>
    <w:p w14:paraId="14525EC7">
      <w:pPr>
        <w:spacing w:after="140" w:line="324" w:lineRule="auto"/>
        <w:ind w:firstLine="475"/>
      </w:pPr>
      <w:r>
        <w:rPr>
          <w:rFonts w:ascii="Times New Roman" w:hAnsi="Times New Roman" w:eastAsia="宋体"/>
          <w:b w:val="0"/>
          <w:i w:val="0"/>
          <w:color w:val="000000"/>
          <w:sz w:val="24"/>
        </w:rPr>
        <w:t xml:space="preserve">3. Sports Centre Room </w:t>
      </w:r>
      <w:r>
        <w:rPr>
          <w:rFonts w:hint="eastAsia"/>
          <w:b w:val="0"/>
          <w:i w:val="0"/>
          <w:color w:val="000000"/>
          <w:sz w:val="24"/>
          <w:lang w:eastAsia="zh-CN"/>
        </w:rPr>
        <w:t>302</w:t>
      </w:r>
      <w:r>
        <w:rPr>
          <w:rFonts w:ascii="Times New Roman" w:hAnsi="Times New Roman" w:eastAsia="宋体"/>
          <w:b w:val="0"/>
          <w:i w:val="0"/>
          <w:color w:val="000000"/>
          <w:sz w:val="24"/>
        </w:rPr>
        <w:t xml:space="preserve"> Venue Information / Photos</w:t>
      </w:r>
    </w:p>
    <w:p w14:paraId="05FD31AE">
      <w:pPr>
        <w:spacing w:after="140" w:line="324" w:lineRule="auto"/>
        <w:ind w:firstLine="475"/>
      </w:pPr>
      <w:r>
        <w:rPr>
          <w:rFonts w:ascii="Times New Roman" w:hAnsi="Times New Roman" w:eastAsia="宋体"/>
          <w:b w:val="0"/>
          <w:i w:val="0"/>
          <w:color w:val="000000"/>
          <w:sz w:val="24"/>
        </w:rPr>
        <w:t>4. Risk Assessment</w:t>
      </w:r>
    </w:p>
    <w:p w14:paraId="6D87CAD0">
      <w:pPr>
        <w:spacing w:after="140" w:line="324" w:lineRule="auto"/>
        <w:ind w:firstLine="475"/>
      </w:pPr>
      <w:r>
        <w:rPr>
          <w:rFonts w:ascii="Times New Roman" w:hAnsi="Times New Roman" w:eastAsia="宋体"/>
          <w:b w:val="0"/>
          <w:i w:val="0"/>
          <w:color w:val="000000"/>
          <w:sz w:val="24"/>
        </w:rPr>
        <w:t>5. Training Schedule and Coach / 综合格斗社 Teaching Staff Information</w:t>
      </w:r>
    </w:p>
    <w:tbl>
      <w:tblPr>
        <w:tblStyle w:val="11"/>
        <w:tblW w:w="7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00"/>
        <w:gridCol w:w="2000"/>
        <w:gridCol w:w="1600"/>
        <w:gridCol w:w="1000"/>
        <w:gridCol w:w="1000"/>
      </w:tblGrid>
      <w:tr w14:paraId="2E4A8173">
        <w:trPr>
          <w:cantSplit/>
          <w:tblHeader/>
        </w:trPr>
        <w:tc>
          <w:tcPr>
            <w:tcW w:w="1800" w:type="dxa"/>
            <w:shd w:val="clear" w:color="auto" w:fill="EAEEF7"/>
            <w:tcMar>
              <w:top w:w="100" w:type="dxa"/>
              <w:left w:w="120" w:type="dxa"/>
              <w:bottom w:w="100" w:type="dxa"/>
              <w:right w:w="120" w:type="dxa"/>
            </w:tcMar>
            <w:vAlign w:val="center"/>
          </w:tcPr>
          <w:p w14:paraId="273E3936">
            <w:pPr>
              <w:spacing w:after="0" w:line="240" w:lineRule="auto"/>
              <w:jc w:val="center"/>
            </w:pPr>
            <w:r>
              <w:rPr>
                <w:rFonts w:ascii="Times New Roman" w:hAnsi="Times New Roman" w:eastAsia="宋体" w:cs="Times New Roman"/>
                <w:b w:val="0"/>
                <w:i w:val="0"/>
                <w:color w:val="000000"/>
                <w:sz w:val="16"/>
                <w:szCs w:val="22"/>
              </w:rPr>
              <w:t>Society</w:t>
            </w:r>
          </w:p>
        </w:tc>
        <w:tc>
          <w:tcPr>
            <w:tcW w:w="2952" w:type="dxa"/>
            <w:shd w:val="clear" w:color="auto" w:fill="EAEEF7"/>
            <w:tcMar>
              <w:top w:w="100" w:type="dxa"/>
              <w:left w:w="120" w:type="dxa"/>
              <w:bottom w:w="100" w:type="dxa"/>
              <w:right w:w="120" w:type="dxa"/>
            </w:tcMar>
            <w:vAlign w:val="center"/>
          </w:tcPr>
          <w:p w14:paraId="55D71A75">
            <w:pPr>
              <w:spacing w:after="0" w:line="240" w:lineRule="auto"/>
              <w:jc w:val="center"/>
            </w:pPr>
            <w:r>
              <w:rPr>
                <w:rFonts w:ascii="Times New Roman" w:hAnsi="Times New Roman" w:eastAsia="宋体" w:cs="Times New Roman"/>
                <w:b w:val="0"/>
                <w:i w:val="0"/>
                <w:color w:val="000000"/>
                <w:sz w:val="16"/>
                <w:szCs w:val="22"/>
              </w:rPr>
              <w:t>Item</w:t>
            </w:r>
          </w:p>
        </w:tc>
        <w:tc>
          <w:tcPr>
            <w:tcW w:w="1800" w:type="dxa"/>
            <w:shd w:val="clear" w:color="auto" w:fill="EAEEF7"/>
            <w:tcMar>
              <w:top w:w="100" w:type="dxa"/>
              <w:left w:w="120" w:type="dxa"/>
              <w:bottom w:w="100" w:type="dxa"/>
              <w:right w:w="120" w:type="dxa"/>
            </w:tcMar>
            <w:vAlign w:val="center"/>
          </w:tcPr>
          <w:p w14:paraId="71C3B7FC">
            <w:pPr>
              <w:spacing w:after="0" w:line="240" w:lineRule="auto"/>
              <w:jc w:val="center"/>
            </w:pPr>
            <w:r>
              <w:rPr>
                <w:rFonts w:ascii="Times New Roman" w:hAnsi="Times New Roman" w:eastAsia="宋体" w:cs="Times New Roman"/>
                <w:b w:val="0"/>
                <w:i w:val="0"/>
                <w:color w:val="000000"/>
                <w:sz w:val="16"/>
                <w:szCs w:val="22"/>
              </w:rPr>
              <w:t>Type</w:t>
            </w:r>
          </w:p>
        </w:tc>
        <w:tc>
          <w:tcPr>
            <w:tcW w:w="1152" w:type="dxa"/>
            <w:shd w:val="clear" w:color="auto" w:fill="EAEEF7"/>
            <w:tcMar>
              <w:top w:w="100" w:type="dxa"/>
              <w:left w:w="120" w:type="dxa"/>
              <w:bottom w:w="100" w:type="dxa"/>
              <w:right w:w="120" w:type="dxa"/>
            </w:tcMar>
            <w:vAlign w:val="center"/>
          </w:tcPr>
          <w:p w14:paraId="38D91118">
            <w:pPr>
              <w:spacing w:after="0" w:line="240" w:lineRule="auto"/>
              <w:jc w:val="center"/>
            </w:pPr>
            <w:r>
              <w:rPr>
                <w:rFonts w:ascii="Times New Roman" w:hAnsi="Times New Roman" w:eastAsia="宋体" w:cs="Times New Roman"/>
                <w:b w:val="0"/>
                <w:i w:val="0"/>
                <w:color w:val="000000"/>
                <w:sz w:val="16"/>
                <w:szCs w:val="22"/>
              </w:rPr>
              <w:t>No.</w:t>
            </w:r>
          </w:p>
        </w:tc>
        <w:tc>
          <w:tcPr>
            <w:tcW w:w="1512" w:type="dxa"/>
            <w:shd w:val="clear" w:color="auto" w:fill="EAEEF7"/>
            <w:tcMar>
              <w:top w:w="100" w:type="dxa"/>
              <w:left w:w="120" w:type="dxa"/>
              <w:bottom w:w="100" w:type="dxa"/>
              <w:right w:w="120" w:type="dxa"/>
            </w:tcMar>
            <w:vAlign w:val="center"/>
          </w:tcPr>
          <w:p w14:paraId="628AD957">
            <w:pPr>
              <w:spacing w:after="0" w:line="240" w:lineRule="auto"/>
              <w:jc w:val="center"/>
            </w:pPr>
            <w:r>
              <w:rPr>
                <w:rFonts w:ascii="Times New Roman" w:hAnsi="Times New Roman" w:eastAsia="宋体" w:cs="Times New Roman"/>
                <w:b w:val="0"/>
                <w:i w:val="0"/>
                <w:color w:val="000000"/>
                <w:sz w:val="16"/>
                <w:szCs w:val="22"/>
              </w:rPr>
              <w:t>Duration</w:t>
            </w:r>
          </w:p>
        </w:tc>
      </w:tr>
      <w:tr w14:paraId="64B4B24D">
        <w:trPr>
          <w:cantSplit/>
        </w:trPr>
        <w:tc>
          <w:tcPr>
            <w:tcW w:w="1800" w:type="dxa"/>
            <w:tcMar>
              <w:top w:w="100" w:type="dxa"/>
              <w:left w:w="120" w:type="dxa"/>
              <w:bottom w:w="100" w:type="dxa"/>
              <w:right w:w="120" w:type="dxa"/>
            </w:tcMar>
            <w:vAlign w:val="center"/>
          </w:tcPr>
          <w:p w14:paraId="5B1AA920">
            <w:pPr>
              <w:spacing w:after="0" w:line="240" w:lineRule="auto"/>
            </w:pPr>
            <w:r>
              <w:rPr>
                <w:rFonts w:ascii="Times New Roman" w:hAnsi="Times New Roman" w:eastAsia="宋体"/>
                <w:b w:val="0"/>
                <w:i w:val="0"/>
                <w:color w:val="000000"/>
                <w:sz w:val="16"/>
              </w:rPr>
              <w:t>综合格斗社</w:t>
            </w:r>
          </w:p>
        </w:tc>
        <w:tc>
          <w:tcPr>
            <w:tcW w:w="2952" w:type="dxa"/>
            <w:tcMar>
              <w:top w:w="100" w:type="dxa"/>
              <w:left w:w="120" w:type="dxa"/>
              <w:bottom w:w="100" w:type="dxa"/>
              <w:right w:w="120" w:type="dxa"/>
            </w:tcMar>
            <w:vAlign w:val="center"/>
          </w:tcPr>
          <w:p w14:paraId="1A63C615">
            <w:pPr>
              <w:spacing w:after="0" w:line="240" w:lineRule="auto"/>
            </w:pPr>
            <w:r>
              <w:rPr>
                <w:rFonts w:ascii="Times New Roman" w:hAnsi="Times New Roman" w:eastAsia="宋体"/>
                <w:b w:val="0"/>
                <w:i w:val="0"/>
                <w:color w:val="000000"/>
                <w:sz w:val="16"/>
              </w:rPr>
              <w:t>Escape-first principles &amp; safety rules</w:t>
            </w:r>
          </w:p>
        </w:tc>
        <w:tc>
          <w:tcPr>
            <w:tcW w:w="1800" w:type="dxa"/>
            <w:tcMar>
              <w:top w:w="100" w:type="dxa"/>
              <w:left w:w="120" w:type="dxa"/>
              <w:bottom w:w="100" w:type="dxa"/>
              <w:right w:w="120" w:type="dxa"/>
            </w:tcMar>
            <w:vAlign w:val="center"/>
          </w:tcPr>
          <w:p w14:paraId="4DA41E85">
            <w:pPr>
              <w:spacing w:after="0" w:line="240" w:lineRule="auto"/>
            </w:pPr>
            <w:r>
              <w:rPr>
                <w:rFonts w:ascii="Times New Roman" w:hAnsi="Times New Roman" w:eastAsia="宋体"/>
                <w:b w:val="0"/>
                <w:i w:val="0"/>
                <w:color w:val="000000"/>
                <w:sz w:val="16"/>
              </w:rPr>
              <w:t>Briefing</w:t>
            </w:r>
          </w:p>
        </w:tc>
        <w:tc>
          <w:tcPr>
            <w:tcW w:w="1152" w:type="dxa"/>
            <w:tcMar>
              <w:top w:w="100" w:type="dxa"/>
              <w:left w:w="120" w:type="dxa"/>
              <w:bottom w:w="100" w:type="dxa"/>
              <w:right w:w="120" w:type="dxa"/>
            </w:tcMar>
            <w:vAlign w:val="center"/>
          </w:tcPr>
          <w:p w14:paraId="6139AC8D">
            <w:pPr>
              <w:spacing w:after="0" w:line="240" w:lineRule="auto"/>
            </w:pPr>
            <w:r>
              <w:rPr>
                <w:rFonts w:ascii="Times New Roman" w:hAnsi="Times New Roman" w:eastAsia="宋体"/>
                <w:b w:val="0"/>
                <w:i w:val="0"/>
                <w:color w:val="000000"/>
                <w:sz w:val="16"/>
              </w:rPr>
              <w:t>Approx. 30</w:t>
            </w:r>
          </w:p>
        </w:tc>
        <w:tc>
          <w:tcPr>
            <w:tcW w:w="1512" w:type="dxa"/>
            <w:tcMar>
              <w:top w:w="100" w:type="dxa"/>
              <w:left w:w="120" w:type="dxa"/>
              <w:bottom w:w="100" w:type="dxa"/>
              <w:right w:w="120" w:type="dxa"/>
            </w:tcMar>
            <w:vAlign w:val="center"/>
          </w:tcPr>
          <w:p w14:paraId="1A44FE12">
            <w:pPr>
              <w:spacing w:after="0" w:line="240" w:lineRule="auto"/>
            </w:pPr>
            <w:r>
              <w:rPr>
                <w:rFonts w:ascii="Times New Roman" w:hAnsi="Times New Roman" w:eastAsia="宋体"/>
                <w:b w:val="0"/>
                <w:i w:val="0"/>
                <w:color w:val="000000"/>
                <w:sz w:val="16"/>
              </w:rPr>
              <w:t>10 min</w:t>
            </w:r>
          </w:p>
        </w:tc>
      </w:tr>
      <w:tr w14:paraId="3E18D112">
        <w:trPr>
          <w:cantSplit/>
        </w:trPr>
        <w:tc>
          <w:tcPr>
            <w:tcW w:w="1800" w:type="dxa"/>
            <w:tcMar>
              <w:top w:w="100" w:type="dxa"/>
              <w:left w:w="120" w:type="dxa"/>
              <w:bottom w:w="100" w:type="dxa"/>
              <w:right w:w="120" w:type="dxa"/>
            </w:tcMar>
            <w:vAlign w:val="center"/>
          </w:tcPr>
          <w:p w14:paraId="79099C5C">
            <w:pPr>
              <w:spacing w:after="0" w:line="240" w:lineRule="auto"/>
            </w:pPr>
            <w:r>
              <w:rPr>
                <w:rFonts w:ascii="Times New Roman" w:hAnsi="Times New Roman" w:eastAsia="宋体"/>
                <w:b w:val="0"/>
                <w:i w:val="0"/>
                <w:color w:val="000000"/>
                <w:sz w:val="16"/>
              </w:rPr>
              <w:t>综合格斗社</w:t>
            </w:r>
          </w:p>
        </w:tc>
        <w:tc>
          <w:tcPr>
            <w:tcW w:w="2952" w:type="dxa"/>
            <w:tcMar>
              <w:top w:w="100" w:type="dxa"/>
              <w:left w:w="120" w:type="dxa"/>
              <w:bottom w:w="100" w:type="dxa"/>
              <w:right w:w="120" w:type="dxa"/>
            </w:tcMar>
            <w:vAlign w:val="center"/>
          </w:tcPr>
          <w:p w14:paraId="0EDC9E30">
            <w:pPr>
              <w:spacing w:after="0" w:line="240" w:lineRule="auto"/>
            </w:pPr>
            <w:r>
              <w:rPr>
                <w:rFonts w:ascii="Times New Roman" w:hAnsi="Times New Roman" w:eastAsia="宋体"/>
                <w:b w:val="0"/>
                <w:i w:val="0"/>
                <w:color w:val="000000"/>
                <w:sz w:val="16"/>
              </w:rPr>
              <w:t>Risk recognition &amp; vulnerability awareness</w:t>
            </w:r>
          </w:p>
        </w:tc>
        <w:tc>
          <w:tcPr>
            <w:tcW w:w="1800" w:type="dxa"/>
            <w:tcMar>
              <w:top w:w="100" w:type="dxa"/>
              <w:left w:w="120" w:type="dxa"/>
              <w:bottom w:w="100" w:type="dxa"/>
              <w:right w:w="120" w:type="dxa"/>
            </w:tcMar>
            <w:vAlign w:val="center"/>
          </w:tcPr>
          <w:p w14:paraId="7A66F5E2">
            <w:pPr>
              <w:spacing w:after="0" w:line="240" w:lineRule="auto"/>
            </w:pPr>
            <w:r>
              <w:rPr>
                <w:rFonts w:ascii="Times New Roman" w:hAnsi="Times New Roman" w:eastAsia="宋体"/>
                <w:b w:val="0"/>
                <w:i w:val="0"/>
                <w:color w:val="000000"/>
                <w:sz w:val="16"/>
              </w:rPr>
              <w:t>Briefing / Demo</w:t>
            </w:r>
          </w:p>
        </w:tc>
        <w:tc>
          <w:tcPr>
            <w:tcW w:w="1152" w:type="dxa"/>
            <w:tcMar>
              <w:top w:w="100" w:type="dxa"/>
              <w:left w:w="120" w:type="dxa"/>
              <w:bottom w:w="100" w:type="dxa"/>
              <w:right w:w="120" w:type="dxa"/>
            </w:tcMar>
            <w:vAlign w:val="center"/>
          </w:tcPr>
          <w:p w14:paraId="6FB7B4C4">
            <w:pPr>
              <w:spacing w:after="0" w:line="240" w:lineRule="auto"/>
            </w:pPr>
            <w:r>
              <w:rPr>
                <w:rFonts w:ascii="Times New Roman" w:hAnsi="Times New Roman" w:eastAsia="宋体"/>
                <w:b w:val="0"/>
                <w:i w:val="0"/>
                <w:color w:val="000000"/>
                <w:sz w:val="16"/>
              </w:rPr>
              <w:t>Approx. 30</w:t>
            </w:r>
          </w:p>
        </w:tc>
        <w:tc>
          <w:tcPr>
            <w:tcW w:w="1512" w:type="dxa"/>
            <w:tcMar>
              <w:top w:w="100" w:type="dxa"/>
              <w:left w:w="120" w:type="dxa"/>
              <w:bottom w:w="100" w:type="dxa"/>
              <w:right w:w="120" w:type="dxa"/>
            </w:tcMar>
            <w:vAlign w:val="center"/>
          </w:tcPr>
          <w:p w14:paraId="54958BA4">
            <w:pPr>
              <w:spacing w:after="0" w:line="240" w:lineRule="auto"/>
            </w:pPr>
            <w:r>
              <w:rPr>
                <w:rFonts w:ascii="Times New Roman" w:hAnsi="Times New Roman" w:eastAsia="宋体"/>
                <w:b w:val="0"/>
                <w:i w:val="0"/>
                <w:color w:val="000000"/>
                <w:sz w:val="16"/>
              </w:rPr>
              <w:t>20 min</w:t>
            </w:r>
          </w:p>
        </w:tc>
      </w:tr>
      <w:tr w14:paraId="793962E8">
        <w:trPr>
          <w:cantSplit/>
        </w:trPr>
        <w:tc>
          <w:tcPr>
            <w:tcW w:w="1800" w:type="dxa"/>
            <w:tcMar>
              <w:top w:w="100" w:type="dxa"/>
              <w:left w:w="120" w:type="dxa"/>
              <w:bottom w:w="100" w:type="dxa"/>
              <w:right w:w="120" w:type="dxa"/>
            </w:tcMar>
            <w:vAlign w:val="center"/>
          </w:tcPr>
          <w:p w14:paraId="40CF13A0">
            <w:pPr>
              <w:spacing w:after="0" w:line="240" w:lineRule="auto"/>
            </w:pPr>
            <w:r>
              <w:rPr>
                <w:rFonts w:ascii="Times New Roman" w:hAnsi="Times New Roman" w:eastAsia="宋体"/>
                <w:b w:val="0"/>
                <w:i w:val="0"/>
                <w:color w:val="000000"/>
                <w:sz w:val="16"/>
              </w:rPr>
              <w:t>综合格斗社</w:t>
            </w:r>
          </w:p>
        </w:tc>
        <w:tc>
          <w:tcPr>
            <w:tcW w:w="2952" w:type="dxa"/>
            <w:tcMar>
              <w:top w:w="100" w:type="dxa"/>
              <w:left w:w="120" w:type="dxa"/>
              <w:bottom w:w="100" w:type="dxa"/>
              <w:right w:w="120" w:type="dxa"/>
            </w:tcMar>
            <w:vAlign w:val="center"/>
          </w:tcPr>
          <w:p w14:paraId="0120E47F">
            <w:pPr>
              <w:spacing w:after="0" w:line="240" w:lineRule="auto"/>
            </w:pPr>
            <w:r>
              <w:rPr>
                <w:rFonts w:ascii="Times New Roman" w:hAnsi="Times New Roman" w:eastAsia="宋体"/>
                <w:b w:val="0"/>
                <w:i w:val="0"/>
                <w:color w:val="000000"/>
                <w:sz w:val="16"/>
              </w:rPr>
              <w:t>Hand-technique pad drill</w:t>
            </w:r>
          </w:p>
        </w:tc>
        <w:tc>
          <w:tcPr>
            <w:tcW w:w="1800" w:type="dxa"/>
            <w:tcMar>
              <w:top w:w="100" w:type="dxa"/>
              <w:left w:w="120" w:type="dxa"/>
              <w:bottom w:w="100" w:type="dxa"/>
              <w:right w:w="120" w:type="dxa"/>
            </w:tcMar>
            <w:vAlign w:val="center"/>
          </w:tcPr>
          <w:p w14:paraId="735CE875">
            <w:pPr>
              <w:spacing w:after="0" w:line="240" w:lineRule="auto"/>
            </w:pPr>
            <w:r>
              <w:rPr>
                <w:rFonts w:ascii="Times New Roman" w:hAnsi="Times New Roman" w:eastAsia="宋体"/>
                <w:b w:val="0"/>
                <w:i w:val="0"/>
                <w:color w:val="000000"/>
                <w:sz w:val="16"/>
              </w:rPr>
              <w:t>Practice</w:t>
            </w:r>
          </w:p>
        </w:tc>
        <w:tc>
          <w:tcPr>
            <w:tcW w:w="1152" w:type="dxa"/>
            <w:tcMar>
              <w:top w:w="100" w:type="dxa"/>
              <w:left w:w="120" w:type="dxa"/>
              <w:bottom w:w="100" w:type="dxa"/>
              <w:right w:w="120" w:type="dxa"/>
            </w:tcMar>
            <w:vAlign w:val="center"/>
          </w:tcPr>
          <w:p w14:paraId="2F8311C2">
            <w:pPr>
              <w:spacing w:after="0" w:line="240" w:lineRule="auto"/>
            </w:pPr>
            <w:r>
              <w:rPr>
                <w:rFonts w:ascii="Times New Roman" w:hAnsi="Times New Roman" w:eastAsia="宋体"/>
                <w:b w:val="0"/>
                <w:i w:val="0"/>
                <w:color w:val="000000"/>
                <w:sz w:val="16"/>
              </w:rPr>
              <w:t>Approx. 30</w:t>
            </w:r>
          </w:p>
        </w:tc>
        <w:tc>
          <w:tcPr>
            <w:tcW w:w="1512" w:type="dxa"/>
            <w:tcMar>
              <w:top w:w="100" w:type="dxa"/>
              <w:left w:w="120" w:type="dxa"/>
              <w:bottom w:w="100" w:type="dxa"/>
              <w:right w:w="120" w:type="dxa"/>
            </w:tcMar>
            <w:vAlign w:val="center"/>
          </w:tcPr>
          <w:p w14:paraId="6A248F97">
            <w:pPr>
              <w:spacing w:after="0" w:line="240" w:lineRule="auto"/>
            </w:pPr>
            <w:r>
              <w:rPr>
                <w:rFonts w:ascii="Times New Roman" w:hAnsi="Times New Roman" w:eastAsia="宋体"/>
                <w:b w:val="0"/>
                <w:i w:val="0"/>
                <w:color w:val="000000"/>
                <w:sz w:val="16"/>
              </w:rPr>
              <w:t>15 min</w:t>
            </w:r>
          </w:p>
        </w:tc>
      </w:tr>
      <w:tr w14:paraId="6848A5B8">
        <w:trPr>
          <w:cantSplit/>
        </w:trPr>
        <w:tc>
          <w:tcPr>
            <w:tcW w:w="1800" w:type="dxa"/>
            <w:tcMar>
              <w:top w:w="100" w:type="dxa"/>
              <w:left w:w="120" w:type="dxa"/>
              <w:bottom w:w="100" w:type="dxa"/>
              <w:right w:w="120" w:type="dxa"/>
            </w:tcMar>
            <w:vAlign w:val="center"/>
          </w:tcPr>
          <w:p w14:paraId="0755239E">
            <w:pPr>
              <w:spacing w:after="0" w:line="240" w:lineRule="auto"/>
            </w:pPr>
            <w:r>
              <w:rPr>
                <w:rFonts w:ascii="Times New Roman" w:hAnsi="Times New Roman" w:eastAsia="宋体"/>
                <w:b w:val="0"/>
                <w:i w:val="0"/>
                <w:color w:val="000000"/>
                <w:sz w:val="16"/>
              </w:rPr>
              <w:t>综合格斗社</w:t>
            </w:r>
          </w:p>
        </w:tc>
        <w:tc>
          <w:tcPr>
            <w:tcW w:w="2952" w:type="dxa"/>
            <w:tcMar>
              <w:top w:w="100" w:type="dxa"/>
              <w:left w:w="120" w:type="dxa"/>
              <w:bottom w:w="100" w:type="dxa"/>
              <w:right w:w="120" w:type="dxa"/>
            </w:tcMar>
            <w:vAlign w:val="center"/>
          </w:tcPr>
          <w:p w14:paraId="75024789">
            <w:pPr>
              <w:spacing w:after="0" w:line="240" w:lineRule="auto"/>
            </w:pPr>
            <w:r>
              <w:rPr>
                <w:rFonts w:ascii="Times New Roman" w:hAnsi="Times New Roman" w:eastAsia="宋体"/>
                <w:b w:val="0"/>
                <w:i w:val="0"/>
                <w:color w:val="000000"/>
                <w:sz w:val="16"/>
              </w:rPr>
              <w:t>Guarded elbow pad drill</w:t>
            </w:r>
          </w:p>
        </w:tc>
        <w:tc>
          <w:tcPr>
            <w:tcW w:w="1800" w:type="dxa"/>
            <w:tcMar>
              <w:top w:w="100" w:type="dxa"/>
              <w:left w:w="120" w:type="dxa"/>
              <w:bottom w:w="100" w:type="dxa"/>
              <w:right w:w="120" w:type="dxa"/>
            </w:tcMar>
            <w:vAlign w:val="center"/>
          </w:tcPr>
          <w:p w14:paraId="2ADF028A">
            <w:pPr>
              <w:spacing w:after="0" w:line="240" w:lineRule="auto"/>
            </w:pPr>
            <w:r>
              <w:rPr>
                <w:rFonts w:ascii="Times New Roman" w:hAnsi="Times New Roman" w:eastAsia="宋体"/>
                <w:b w:val="0"/>
                <w:i w:val="0"/>
                <w:color w:val="000000"/>
                <w:sz w:val="16"/>
              </w:rPr>
              <w:t>Practice</w:t>
            </w:r>
          </w:p>
        </w:tc>
        <w:tc>
          <w:tcPr>
            <w:tcW w:w="1152" w:type="dxa"/>
            <w:tcMar>
              <w:top w:w="100" w:type="dxa"/>
              <w:left w:w="120" w:type="dxa"/>
              <w:bottom w:w="100" w:type="dxa"/>
              <w:right w:w="120" w:type="dxa"/>
            </w:tcMar>
            <w:vAlign w:val="center"/>
          </w:tcPr>
          <w:p w14:paraId="1654E286">
            <w:pPr>
              <w:spacing w:after="0" w:line="240" w:lineRule="auto"/>
            </w:pPr>
            <w:r>
              <w:rPr>
                <w:rFonts w:ascii="Times New Roman" w:hAnsi="Times New Roman" w:eastAsia="宋体"/>
                <w:b w:val="0"/>
                <w:i w:val="0"/>
                <w:color w:val="000000"/>
                <w:sz w:val="16"/>
              </w:rPr>
              <w:t>Approx. 30</w:t>
            </w:r>
          </w:p>
        </w:tc>
        <w:tc>
          <w:tcPr>
            <w:tcW w:w="1512" w:type="dxa"/>
            <w:tcMar>
              <w:top w:w="100" w:type="dxa"/>
              <w:left w:w="120" w:type="dxa"/>
              <w:bottom w:w="100" w:type="dxa"/>
              <w:right w:w="120" w:type="dxa"/>
            </w:tcMar>
            <w:vAlign w:val="center"/>
          </w:tcPr>
          <w:p w14:paraId="09141CF3">
            <w:pPr>
              <w:spacing w:after="0" w:line="240" w:lineRule="auto"/>
            </w:pPr>
            <w:r>
              <w:rPr>
                <w:rFonts w:ascii="Times New Roman" w:hAnsi="Times New Roman" w:eastAsia="宋体"/>
                <w:b w:val="0"/>
                <w:i w:val="0"/>
                <w:color w:val="000000"/>
                <w:sz w:val="16"/>
              </w:rPr>
              <w:t>15 min</w:t>
            </w:r>
          </w:p>
        </w:tc>
      </w:tr>
      <w:tr w14:paraId="70C1219E">
        <w:trPr>
          <w:cantSplit/>
        </w:trPr>
        <w:tc>
          <w:tcPr>
            <w:tcW w:w="1800" w:type="dxa"/>
            <w:tcMar>
              <w:top w:w="100" w:type="dxa"/>
              <w:left w:w="120" w:type="dxa"/>
              <w:bottom w:w="100" w:type="dxa"/>
              <w:right w:w="120" w:type="dxa"/>
            </w:tcMar>
            <w:vAlign w:val="center"/>
          </w:tcPr>
          <w:p w14:paraId="00051C39">
            <w:pPr>
              <w:spacing w:after="0" w:line="240" w:lineRule="auto"/>
            </w:pPr>
            <w:r>
              <w:rPr>
                <w:rFonts w:ascii="Times New Roman" w:hAnsi="Times New Roman" w:eastAsia="宋体"/>
                <w:b w:val="0"/>
                <w:i w:val="0"/>
                <w:color w:val="000000"/>
                <w:sz w:val="16"/>
              </w:rPr>
              <w:t>综合格斗社</w:t>
            </w:r>
          </w:p>
        </w:tc>
        <w:tc>
          <w:tcPr>
            <w:tcW w:w="2952" w:type="dxa"/>
            <w:tcMar>
              <w:top w:w="100" w:type="dxa"/>
              <w:left w:w="120" w:type="dxa"/>
              <w:bottom w:w="100" w:type="dxa"/>
              <w:right w:w="120" w:type="dxa"/>
            </w:tcMar>
            <w:vAlign w:val="center"/>
          </w:tcPr>
          <w:p w14:paraId="4F71AA99">
            <w:pPr>
              <w:spacing w:after="0" w:line="240" w:lineRule="auto"/>
            </w:pPr>
            <w:r>
              <w:rPr>
                <w:rFonts w:ascii="Times New Roman" w:hAnsi="Times New Roman" w:eastAsia="宋体"/>
                <w:b w:val="0"/>
                <w:i w:val="0"/>
                <w:color w:val="000000"/>
                <w:sz w:val="16"/>
              </w:rPr>
              <w:t>Front-kick pad drill</w:t>
            </w:r>
          </w:p>
        </w:tc>
        <w:tc>
          <w:tcPr>
            <w:tcW w:w="1800" w:type="dxa"/>
            <w:tcMar>
              <w:top w:w="100" w:type="dxa"/>
              <w:left w:w="120" w:type="dxa"/>
              <w:bottom w:w="100" w:type="dxa"/>
              <w:right w:w="120" w:type="dxa"/>
            </w:tcMar>
            <w:vAlign w:val="center"/>
          </w:tcPr>
          <w:p w14:paraId="1E0EF2EA">
            <w:pPr>
              <w:spacing w:after="0" w:line="240" w:lineRule="auto"/>
            </w:pPr>
            <w:r>
              <w:rPr>
                <w:rFonts w:ascii="Times New Roman" w:hAnsi="Times New Roman" w:eastAsia="宋体"/>
                <w:b w:val="0"/>
                <w:i w:val="0"/>
                <w:color w:val="000000"/>
                <w:sz w:val="16"/>
              </w:rPr>
              <w:t>Practice</w:t>
            </w:r>
          </w:p>
        </w:tc>
        <w:tc>
          <w:tcPr>
            <w:tcW w:w="1152" w:type="dxa"/>
            <w:tcMar>
              <w:top w:w="100" w:type="dxa"/>
              <w:left w:w="120" w:type="dxa"/>
              <w:bottom w:w="100" w:type="dxa"/>
              <w:right w:w="120" w:type="dxa"/>
            </w:tcMar>
            <w:vAlign w:val="center"/>
          </w:tcPr>
          <w:p w14:paraId="509BAF01">
            <w:pPr>
              <w:spacing w:after="0" w:line="240" w:lineRule="auto"/>
            </w:pPr>
            <w:r>
              <w:rPr>
                <w:rFonts w:ascii="Times New Roman" w:hAnsi="Times New Roman" w:eastAsia="宋体"/>
                <w:b w:val="0"/>
                <w:i w:val="0"/>
                <w:color w:val="000000"/>
                <w:sz w:val="16"/>
              </w:rPr>
              <w:t>Approx. 30</w:t>
            </w:r>
          </w:p>
        </w:tc>
        <w:tc>
          <w:tcPr>
            <w:tcW w:w="1512" w:type="dxa"/>
            <w:tcMar>
              <w:top w:w="100" w:type="dxa"/>
              <w:left w:w="120" w:type="dxa"/>
              <w:bottom w:w="100" w:type="dxa"/>
              <w:right w:w="120" w:type="dxa"/>
            </w:tcMar>
            <w:vAlign w:val="center"/>
          </w:tcPr>
          <w:p w14:paraId="031A6DA2">
            <w:pPr>
              <w:spacing w:after="0" w:line="240" w:lineRule="auto"/>
            </w:pPr>
            <w:r>
              <w:rPr>
                <w:rFonts w:ascii="Times New Roman" w:hAnsi="Times New Roman" w:eastAsia="宋体"/>
                <w:b w:val="0"/>
                <w:i w:val="0"/>
                <w:color w:val="000000"/>
                <w:sz w:val="16"/>
              </w:rPr>
              <w:t>15 min</w:t>
            </w:r>
          </w:p>
        </w:tc>
      </w:tr>
      <w:tr w14:paraId="628F4ADA">
        <w:trPr>
          <w:cantSplit/>
        </w:trPr>
        <w:tc>
          <w:tcPr>
            <w:tcW w:w="1800" w:type="dxa"/>
            <w:tcMar>
              <w:top w:w="100" w:type="dxa"/>
              <w:left w:w="120" w:type="dxa"/>
              <w:bottom w:w="100" w:type="dxa"/>
              <w:right w:w="120" w:type="dxa"/>
            </w:tcMar>
            <w:vAlign w:val="center"/>
          </w:tcPr>
          <w:p w14:paraId="04B088CF">
            <w:pPr>
              <w:spacing w:after="0" w:line="240" w:lineRule="auto"/>
            </w:pPr>
            <w:r>
              <w:rPr>
                <w:rFonts w:ascii="Times New Roman" w:hAnsi="Times New Roman" w:eastAsia="宋体"/>
                <w:b w:val="0"/>
                <w:i w:val="0"/>
                <w:color w:val="000000"/>
                <w:sz w:val="16"/>
              </w:rPr>
              <w:t>综合格斗社</w:t>
            </w:r>
          </w:p>
        </w:tc>
        <w:tc>
          <w:tcPr>
            <w:tcW w:w="2952" w:type="dxa"/>
            <w:tcMar>
              <w:top w:w="100" w:type="dxa"/>
              <w:left w:w="120" w:type="dxa"/>
              <w:bottom w:w="100" w:type="dxa"/>
              <w:right w:w="120" w:type="dxa"/>
            </w:tcMar>
            <w:vAlign w:val="center"/>
          </w:tcPr>
          <w:p w14:paraId="7D7EAE40">
            <w:pPr>
              <w:spacing w:after="0" w:line="240" w:lineRule="auto"/>
            </w:pPr>
            <w:r>
              <w:rPr>
                <w:rFonts w:ascii="Times New Roman" w:hAnsi="Times New Roman" w:eastAsia="宋体"/>
                <w:b w:val="0"/>
                <w:i w:val="0"/>
                <w:color w:val="000000"/>
                <w:sz w:val="16"/>
              </w:rPr>
              <w:t>Integrated pad drill; optional additional kick</w:t>
            </w:r>
          </w:p>
        </w:tc>
        <w:tc>
          <w:tcPr>
            <w:tcW w:w="1800" w:type="dxa"/>
            <w:tcMar>
              <w:top w:w="100" w:type="dxa"/>
              <w:left w:w="120" w:type="dxa"/>
              <w:bottom w:w="100" w:type="dxa"/>
              <w:right w:w="120" w:type="dxa"/>
            </w:tcMar>
            <w:vAlign w:val="center"/>
          </w:tcPr>
          <w:p w14:paraId="399B7037">
            <w:pPr>
              <w:spacing w:after="0" w:line="240" w:lineRule="auto"/>
            </w:pPr>
            <w:r>
              <w:rPr>
                <w:rFonts w:ascii="Times New Roman" w:hAnsi="Times New Roman" w:eastAsia="宋体"/>
                <w:b w:val="0"/>
                <w:i w:val="0"/>
                <w:color w:val="000000"/>
                <w:sz w:val="16"/>
              </w:rPr>
              <w:t>Practice</w:t>
            </w:r>
          </w:p>
        </w:tc>
        <w:tc>
          <w:tcPr>
            <w:tcW w:w="1152" w:type="dxa"/>
            <w:tcMar>
              <w:top w:w="100" w:type="dxa"/>
              <w:left w:w="120" w:type="dxa"/>
              <w:bottom w:w="100" w:type="dxa"/>
              <w:right w:w="120" w:type="dxa"/>
            </w:tcMar>
            <w:vAlign w:val="center"/>
          </w:tcPr>
          <w:p w14:paraId="7DFEEF0D">
            <w:pPr>
              <w:spacing w:after="0" w:line="240" w:lineRule="auto"/>
            </w:pPr>
            <w:r>
              <w:rPr>
                <w:rFonts w:ascii="Times New Roman" w:hAnsi="Times New Roman" w:eastAsia="宋体"/>
                <w:b w:val="0"/>
                <w:i w:val="0"/>
                <w:color w:val="000000"/>
                <w:sz w:val="16"/>
              </w:rPr>
              <w:t>Approx. 30</w:t>
            </w:r>
          </w:p>
        </w:tc>
        <w:tc>
          <w:tcPr>
            <w:tcW w:w="1512" w:type="dxa"/>
            <w:tcMar>
              <w:top w:w="100" w:type="dxa"/>
              <w:left w:w="120" w:type="dxa"/>
              <w:bottom w:w="100" w:type="dxa"/>
              <w:right w:w="120" w:type="dxa"/>
            </w:tcMar>
            <w:vAlign w:val="center"/>
          </w:tcPr>
          <w:p w14:paraId="22A935E3">
            <w:pPr>
              <w:spacing w:after="0" w:line="240" w:lineRule="auto"/>
            </w:pPr>
            <w:r>
              <w:rPr>
                <w:rFonts w:ascii="Times New Roman" w:hAnsi="Times New Roman" w:eastAsia="宋体"/>
                <w:b w:val="0"/>
                <w:i w:val="0"/>
                <w:color w:val="000000"/>
                <w:sz w:val="16"/>
              </w:rPr>
              <w:t>15 min</w:t>
            </w:r>
          </w:p>
        </w:tc>
      </w:tr>
      <w:tr w14:paraId="1B93B58E">
        <w:trPr>
          <w:cantSplit/>
        </w:trPr>
        <w:tc>
          <w:tcPr>
            <w:tcW w:w="1800" w:type="dxa"/>
            <w:tcMar>
              <w:top w:w="100" w:type="dxa"/>
              <w:left w:w="120" w:type="dxa"/>
              <w:bottom w:w="100" w:type="dxa"/>
              <w:right w:w="120" w:type="dxa"/>
            </w:tcMar>
            <w:vAlign w:val="center"/>
          </w:tcPr>
          <w:p w14:paraId="0F35D48B">
            <w:pPr>
              <w:spacing w:after="0" w:line="240" w:lineRule="auto"/>
            </w:pPr>
            <w:r>
              <w:rPr>
                <w:rFonts w:ascii="Times New Roman" w:hAnsi="Times New Roman" w:eastAsia="宋体"/>
                <w:b w:val="0"/>
                <w:i w:val="0"/>
                <w:color w:val="000000"/>
                <w:sz w:val="16"/>
              </w:rPr>
              <w:t>SafeSpace × 综合格斗社</w:t>
            </w:r>
          </w:p>
        </w:tc>
        <w:tc>
          <w:tcPr>
            <w:tcW w:w="2952" w:type="dxa"/>
            <w:tcMar>
              <w:top w:w="100" w:type="dxa"/>
              <w:left w:w="120" w:type="dxa"/>
              <w:bottom w:w="100" w:type="dxa"/>
              <w:right w:w="120" w:type="dxa"/>
            </w:tcMar>
            <w:vAlign w:val="center"/>
          </w:tcPr>
          <w:p w14:paraId="4229F8EA">
            <w:pPr>
              <w:spacing w:after="0" w:line="240" w:lineRule="auto"/>
            </w:pPr>
            <w:r>
              <w:rPr>
                <w:rFonts w:ascii="Times New Roman" w:hAnsi="Times New Roman" w:eastAsia="宋体"/>
                <w:b w:val="0"/>
                <w:i w:val="0"/>
                <w:color w:val="000000"/>
                <w:sz w:val="16"/>
              </w:rPr>
              <w:t>Q&amp;A / feedback / optional group photo</w:t>
            </w:r>
          </w:p>
        </w:tc>
        <w:tc>
          <w:tcPr>
            <w:tcW w:w="1800" w:type="dxa"/>
            <w:tcMar>
              <w:top w:w="100" w:type="dxa"/>
              <w:left w:w="120" w:type="dxa"/>
              <w:bottom w:w="100" w:type="dxa"/>
              <w:right w:w="120" w:type="dxa"/>
            </w:tcMar>
            <w:vAlign w:val="center"/>
          </w:tcPr>
          <w:p w14:paraId="547872F5">
            <w:pPr>
              <w:spacing w:after="0" w:line="240" w:lineRule="auto"/>
            </w:pPr>
            <w:r>
              <w:rPr>
                <w:rFonts w:ascii="Times New Roman" w:hAnsi="Times New Roman" w:eastAsia="宋体"/>
                <w:b w:val="0"/>
                <w:i w:val="0"/>
                <w:color w:val="000000"/>
                <w:sz w:val="16"/>
              </w:rPr>
              <w:t>Interaction</w:t>
            </w:r>
          </w:p>
        </w:tc>
        <w:tc>
          <w:tcPr>
            <w:tcW w:w="1152" w:type="dxa"/>
            <w:tcMar>
              <w:top w:w="100" w:type="dxa"/>
              <w:left w:w="120" w:type="dxa"/>
              <w:bottom w:w="100" w:type="dxa"/>
              <w:right w:w="120" w:type="dxa"/>
            </w:tcMar>
            <w:vAlign w:val="center"/>
          </w:tcPr>
          <w:p w14:paraId="56D17312">
            <w:pPr>
              <w:spacing w:after="0" w:line="240" w:lineRule="auto"/>
            </w:pPr>
            <w:r>
              <w:rPr>
                <w:rFonts w:ascii="Times New Roman" w:hAnsi="Times New Roman" w:eastAsia="宋体"/>
                <w:b w:val="0"/>
                <w:i w:val="0"/>
                <w:color w:val="000000"/>
                <w:sz w:val="16"/>
              </w:rPr>
              <w:t>Approx. 30</w:t>
            </w:r>
          </w:p>
        </w:tc>
        <w:tc>
          <w:tcPr>
            <w:tcW w:w="1512" w:type="dxa"/>
            <w:tcMar>
              <w:top w:w="100" w:type="dxa"/>
              <w:left w:w="120" w:type="dxa"/>
              <w:bottom w:w="100" w:type="dxa"/>
              <w:right w:w="120" w:type="dxa"/>
            </w:tcMar>
            <w:vAlign w:val="center"/>
          </w:tcPr>
          <w:p w14:paraId="5C66ABBD">
            <w:pPr>
              <w:spacing w:after="0" w:line="240" w:lineRule="auto"/>
            </w:pPr>
            <w:r>
              <w:rPr>
                <w:rFonts w:ascii="Times New Roman" w:hAnsi="Times New Roman" w:eastAsia="宋体"/>
                <w:b w:val="0"/>
                <w:i w:val="0"/>
                <w:color w:val="000000"/>
                <w:sz w:val="16"/>
              </w:rPr>
              <w:t>5-10 min after class</w:t>
            </w:r>
          </w:p>
        </w:tc>
      </w:tr>
    </w:tbl>
    <w:p w14:paraId="0334CB41"/>
    <w:sectPr>
      <w:headerReference r:id="rId6" w:type="default"/>
      <w:footerReference r:id="rId7"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armonyOS Sans SC">
    <w:altName w:val="苹方-简"/>
    <w:panose1 w:val="00000500000000000000"/>
    <w:charset w:val="86"/>
    <w:family w:val="auto"/>
    <w:pitch w:val="default"/>
    <w:sig w:usb0="00000000" w:usb1="00000000" w:usb2="00000016" w:usb3="00000000" w:csb0="00040001" w:csb1="00000000"/>
  </w:font>
  <w:font w:name="微软雅黑">
    <w:altName w:val="汉仪旗黑"/>
    <w:panose1 w:val="020B0503020204020204"/>
    <w:charset w:val="86"/>
    <w:family w:val="auto"/>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汉仪旗黑">
    <w:panose1 w:val="00020600040101010101"/>
    <w:charset w:val="86"/>
    <w:family w:val="auto"/>
    <w:pitch w:val="default"/>
    <w:sig w:usb0="A00002BF" w:usb1="1ACF7CFA" w:usb2="00000016" w:usb3="00000000" w:csb0="0004009F" w:csb1="DFD70000"/>
  </w:font>
  <w:font w:name="冬青黑体简体中文">
    <w:panose1 w:val="020B0300000000000000"/>
    <w:charset w:val="86"/>
    <w:family w:val="auto"/>
    <w:pitch w:val="default"/>
    <w:sig w:usb0="A00002BF" w:usb1="1ACF7CFA" w:usb2="00000016" w:usb3="00000000" w:csb0="00060007"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175A4">
    <w:pPr>
      <w:spacing w:after="140" w:line="300" w:lineRule="auto"/>
      <w:jc w:val="center"/>
    </w:pP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PAGE</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71032">
    <w:pPr>
      <w:spacing w:after="140" w:line="300" w:lineRule="auto"/>
      <w:jc w:val="center"/>
    </w:pP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PAGE</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8BA74">
    <w:pPr>
      <w:spacing w:after="140" w:line="300" w:lineRule="auto"/>
      <w:jc w:val="right"/>
    </w:pPr>
    <w:r>
      <w:drawing>
        <wp:inline distT="0" distB="0" distL="0" distR="0">
          <wp:extent cx="1905000" cy="4095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
                  <a:srcRect/>
                  <a:stretch>
                    <a:fillRect/>
                  </a:stretch>
                </pic:blipFill>
                <pic:spPr>
                  <a:xfrm>
                    <a:off x="0" y="0"/>
                    <a:ext cx="1905000" cy="40957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404F9">
    <w:pPr>
      <w:spacing w:after="140" w:line="300" w:lineRule="auto"/>
      <w:jc w:val="right"/>
    </w:pPr>
    <w:r>
      <w:drawing>
        <wp:inline distT="0" distB="0" distL="0" distR="0">
          <wp:extent cx="1905000" cy="4095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
                  <a:srcRect/>
                  <a:stretch>
                    <a:fillRect/>
                  </a:stretch>
                </pic:blipFill>
                <pic:spPr>
                  <a:xfrm>
                    <a:off x="0" y="0"/>
                    <a:ext cx="1905000" cy="4095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displayBackgroundShape w:val="1"/>
  <w:bordersDoNotSurroundHeader w:val="0"/>
  <w:bordersDoNotSurroundFooter w:val="0"/>
  <w:documentProtection w:enforcement="0"/>
  <w:displayHorizontalDrawingGridEvery w:val="1"/>
  <w:displayVerticalDrawingGridEvery w:val="1"/>
  <w:noPunctuationKerning w:val="1"/>
  <w:footnotePr>
    <w:footnote w:id="0"/>
    <w:footnote w:id="1"/>
  </w:footnotePr>
  <w:compat>
    <w:doNotExpandShiftReturn/>
    <w:doNotWrapTextWithPunct/>
    <w:doNotUseEastAsianBreakRules/>
    <w:useFELayout/>
    <w:compatSetting w:name="compatibilityMode" w:uri="http://schemas.microsoft.com/office/word" w:val="15"/>
  </w:compat>
  <w:rsids>
    <w:rsidRoot w:val="00000000"/>
    <w:rsid w:val="2C5867CF"/>
    <w:rsid w:val="3DFF8907"/>
    <w:rsid w:val="40D31775"/>
    <w:rsid w:val="63BD5280"/>
    <w:rsid w:val="73F779E4"/>
    <w:rsid w:val="7B8F12FC"/>
    <w:rsid w:val="7ED58DDD"/>
    <w:rsid w:val="7FFB7D73"/>
    <w:rsid w:val="BFFBD554"/>
    <w:rsid w:val="ED6D1A4D"/>
    <w:rsid w:val="F7D7A8DF"/>
    <w:rsid w:val="FFF67A2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before="50" w:beforeLines="50"/>
      <w:jc w:val="both"/>
    </w:pPr>
    <w:rPr>
      <w:rFonts w:ascii="Times New Roman" w:hAnsi="Times New Roman" w:eastAsia="宋体" w:cs="Times New Roman"/>
      <w:sz w:val="24"/>
      <w:szCs w:val="24"/>
    </w:rPr>
  </w:style>
  <w:style w:type="paragraph" w:styleId="2">
    <w:name w:val="heading 1"/>
    <w:next w:val="1"/>
    <w:qFormat/>
    <w:uiPriority w:val="0"/>
    <w:rPr>
      <w:rFonts w:ascii="Times New Roman" w:hAnsi="Times New Roman" w:eastAsia="宋体" w:cs="Times New Roman"/>
      <w:color w:val="2E74B5"/>
      <w:sz w:val="32"/>
      <w:szCs w:val="32"/>
    </w:rPr>
  </w:style>
  <w:style w:type="paragraph" w:styleId="3">
    <w:name w:val="heading 2"/>
    <w:next w:val="1"/>
    <w:qFormat/>
    <w:uiPriority w:val="0"/>
    <w:rPr>
      <w:rFonts w:ascii="Times New Roman" w:hAnsi="Times New Roman" w:eastAsia="宋体" w:cs="Times New Roman"/>
      <w:color w:val="2E74B5"/>
      <w:sz w:val="26"/>
      <w:szCs w:val="26"/>
    </w:rPr>
  </w:style>
  <w:style w:type="paragraph" w:styleId="4">
    <w:name w:val="heading 3"/>
    <w:next w:val="1"/>
    <w:qFormat/>
    <w:uiPriority w:val="0"/>
    <w:rPr>
      <w:rFonts w:ascii="Times New Roman" w:hAnsi="Times New Roman" w:eastAsia="宋体" w:cs="Times New Roman"/>
      <w:color w:val="1F4D78"/>
      <w:sz w:val="24"/>
      <w:szCs w:val="24"/>
    </w:rPr>
  </w:style>
  <w:style w:type="paragraph" w:styleId="5">
    <w:name w:val="heading 4"/>
    <w:next w:val="1"/>
    <w:qFormat/>
    <w:uiPriority w:val="0"/>
    <w:rPr>
      <w:rFonts w:ascii="Times New Roman" w:hAnsi="Times New Roman" w:eastAsia="宋体" w:cs="Times New Roman"/>
      <w:i/>
      <w:iCs/>
      <w:color w:val="2E74B5"/>
      <w:sz w:val="24"/>
      <w:szCs w:val="24"/>
    </w:rPr>
  </w:style>
  <w:style w:type="paragraph" w:styleId="6">
    <w:name w:val="heading 5"/>
    <w:next w:val="1"/>
    <w:qFormat/>
    <w:uiPriority w:val="0"/>
    <w:rPr>
      <w:rFonts w:ascii="Times New Roman" w:hAnsi="Times New Roman" w:eastAsia="宋体" w:cs="Times New Roman"/>
      <w:color w:val="2E74B5"/>
      <w:sz w:val="24"/>
      <w:szCs w:val="24"/>
    </w:rPr>
  </w:style>
  <w:style w:type="paragraph" w:styleId="7">
    <w:name w:val="heading 6"/>
    <w:next w:val="1"/>
    <w:qFormat/>
    <w:uiPriority w:val="0"/>
    <w:rPr>
      <w:rFonts w:ascii="Times New Roman" w:hAnsi="Times New Roman" w:eastAsia="宋体" w:cs="Times New Roman"/>
      <w:color w:val="1F4D78"/>
      <w:sz w:val="24"/>
      <w:szCs w:val="24"/>
    </w:rPr>
  </w:style>
  <w:style w:type="character" w:default="1" w:styleId="12">
    <w:name w:val="Default Paragraph Font"/>
    <w:semiHidden/>
    <w:qFormat/>
    <w:uiPriority w:val="0"/>
    <w:rPr>
      <w:rFonts w:ascii="Calibri" w:hAnsi="Calibri" w:eastAsia="HarmonyOS Sans SC"/>
      <w:sz w:val="40"/>
    </w:rPr>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imes New Roman" w:hAnsi="Times New Roman" w:eastAsia="宋体" w:cs="Times New Roman"/>
      <w:sz w:val="20"/>
      <w:szCs w:val="20"/>
    </w:rPr>
  </w:style>
  <w:style w:type="paragraph" w:styleId="9">
    <w:name w:val="footnote text"/>
    <w:link w:val="17"/>
    <w:semiHidden/>
    <w:unhideWhenUsed/>
    <w:qFormat/>
    <w:uiPriority w:val="99"/>
    <w:pPr>
      <w:spacing w:after="0" w:line="240" w:lineRule="auto"/>
    </w:pPr>
    <w:rPr>
      <w:rFonts w:ascii="Times New Roman" w:hAnsi="Times New Roman" w:eastAsia="宋体" w:cs="Times New Roman"/>
      <w:sz w:val="20"/>
      <w:szCs w:val="20"/>
    </w:rPr>
  </w:style>
  <w:style w:type="paragraph" w:styleId="10">
    <w:name w:val="Title"/>
    <w:qFormat/>
    <w:uiPriority w:val="0"/>
    <w:rPr>
      <w:rFonts w:ascii="Times New Roman" w:hAnsi="Times New Roman" w:eastAsia="宋体" w:cs="Times New Roman"/>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Times New Roman" w:hAnsi="Times New Roman" w:eastAsia="宋体" w:cs="Times New Roman"/>
      <w:sz w:val="24"/>
      <w:szCs w:val="24"/>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17</Pages>
  <Words>60</Words>
  <Characters>75</Characters>
  <TotalTime>1</TotalTime>
  <ScaleCrop>false</ScaleCrop>
  <LinksUpToDate>false</LinksUpToDate>
  <CharactersWithSpaces>80</CharactersWithSpaces>
  <Application>WPS Office_6.13.2.8918_F1E327BC-269C-435d-A152-05C5408002CA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2026-10-09T11:02:00Z</dcterms:created>
  <dc:creator>Un-named</dc:creator>
  <cp:lastModifiedBy>葫芦侠</cp:lastModifiedBy>
  <dcterms:modified xsi:type="dcterms:W3CDTF">2026-10-09T16:40:08Z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2052-6.13.2.8918</vt:lpwstr>
  </property>
  <property fmtid="{D5CDD505-2E9C-101B-9397-08002B2CF9AE}" pid="3" name="ICV">
    <vt:lpwstr>7AA0756B0A69967268A8C86A5659FB9E_43</vt:lpwstr>
  </property>
  <property fmtid="{D5CDD505-2E9C-101B-9397-08002B2CF9AE}" pid="4" name="KSOTemplateDocerSaveRecord">
    <vt:lpwstr>eyJoZGlkIjoiNTg5MDZjNmU3ZjRkMzRlM2M2M2VkNWYxODlkMGE5NTkiLCJ1c2VySWQiOiI0NTA2MzQ5MTAifQ==</vt:lpwstr>
  </property>
</Properties>
</file>